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黑体" w:hAnsi="黑体"/>
          <w:color w:val="666666"/>
          <w:sz w:val="28"/>
        </w:rPr>
        <w:t>定制开发合同</w:t>
      </w:r>
    </w:p>
    <w:p/>
    <w:p>
      <w:pPr>
        <w:jc w:val="center"/>
      </w:pPr>
      <w:r>
        <w:rPr>
          <w:rFonts w:ascii="黑体" w:hAnsi="黑体"/>
          <w:b/>
          <w:sz w:val="52"/>
        </w:rPr>
        <w:t>进销存管理系统</w:t>
      </w:r>
    </w:p>
    <w:p>
      <w:pPr>
        <w:jc w:val="center"/>
      </w:pPr>
      <w:r>
        <w:rPr>
          <w:rFonts w:ascii="黑体" w:hAnsi="黑体"/>
          <w:b/>
          <w:sz w:val="52"/>
        </w:rPr>
        <w:t>定制开发合同</w:t>
      </w:r>
    </w:p>
    <w:p/>
    <w:p>
      <w:pPr>
        <w:jc w:val="center"/>
      </w:pPr>
      <w:r>
        <w:rPr>
          <w:rFonts w:ascii="宋体" w:hAnsi="宋体"/>
          <w:sz w:val="24"/>
        </w:rPr>
        <w:t>合同编号：JK-MJ-2026-001</w:t>
      </w:r>
    </w:p>
    <w:p/>
    <w:p/>
    <w:p/>
    <w:p/>
    <w:p/>
    <w:p/>
    <w:p>
      <w:pPr>
        <w:jc w:val="center"/>
      </w:pPr>
      <w:r>
        <w:rPr>
          <w:rFonts w:ascii="黑体" w:hAnsi="黑体"/>
          <w:sz w:val="24"/>
        </w:rPr>
        <w:t>甲方：</w:t>
      </w:r>
      <w:r>
        <w:rPr>
          <w:rFonts w:ascii="宋体" w:hAnsi="宋体"/>
          <w:sz w:val="24"/>
        </w:rPr>
        <w:t>安徽今宽新材料科技有限公司</w:t>
      </w:r>
    </w:p>
    <w:p>
      <w:pPr>
        <w:jc w:val="center"/>
      </w:pPr>
      <w:r>
        <w:rPr>
          <w:rFonts w:ascii="黑体" w:hAnsi="黑体"/>
          <w:sz w:val="24"/>
        </w:rPr>
        <w:t>乙方：</w:t>
      </w:r>
      <w:r>
        <w:rPr>
          <w:rFonts w:ascii="宋体" w:hAnsi="宋体"/>
          <w:sz w:val="24"/>
        </w:rPr>
        <w:t>铭见（上海）智能科技有限公司</w:t>
      </w:r>
    </w:p>
    <w:p/>
    <w:p/>
    <w:p/>
    <w:p>
      <w:pPr>
        <w:jc w:val="center"/>
      </w:pPr>
      <w:r>
        <w:rPr>
          <w:rFonts w:ascii="宋体" w:hAnsi="宋体"/>
          <w:sz w:val="24"/>
        </w:rPr>
        <w:t>签订地点：__________________</w:t>
      </w:r>
    </w:p>
    <w:p>
      <w:pPr>
        <w:jc w:val="center"/>
      </w:pPr>
      <w:r>
        <w:rPr>
          <w:rFonts w:ascii="宋体" w:hAnsi="宋体"/>
          <w:sz w:val="24"/>
        </w:rPr>
        <w:t>签订日期：______年______月______日</w:t>
      </w:r>
    </w:p>
    <w:p>
      <w:r>
        <w:br w:type="page"/>
      </w:r>
    </w:p>
    <w:p/>
    <w:p>
      <w:r>
        <w:rPr>
          <w:rFonts w:ascii="黑体" w:hAnsi="黑体"/>
          <w:sz w:val="22"/>
        </w:rPr>
        <w:t>甲方（委托方）：</w:t>
      </w:r>
      <w:r>
        <w:rPr>
          <w:rFonts w:ascii="宋体" w:hAnsi="宋体"/>
          <w:sz w:val="22"/>
        </w:rPr>
        <w:t>安徽今宽新材料科技有限公司</w:t>
      </w:r>
    </w:p>
    <w:p>
      <w:r>
        <w:rPr>
          <w:rFonts w:ascii="宋体" w:hAnsi="宋体"/>
          <w:sz w:val="21"/>
        </w:rPr>
        <w:t>统一社会信用代码：__________________________</w:t>
      </w:r>
    </w:p>
    <w:p>
      <w:r>
        <w:rPr>
          <w:rFonts w:ascii="宋体" w:hAnsi="宋体"/>
          <w:sz w:val="21"/>
        </w:rPr>
        <w:t>法定代表人：__________________</w:t>
      </w:r>
    </w:p>
    <w:p>
      <w:r>
        <w:rPr>
          <w:rFonts w:ascii="宋体" w:hAnsi="宋体"/>
          <w:sz w:val="21"/>
        </w:rPr>
        <w:t>地址：__________________________</w:t>
      </w:r>
    </w:p>
    <w:p>
      <w:r>
        <w:rPr>
          <w:rFonts w:ascii="宋体" w:hAnsi="宋体"/>
          <w:sz w:val="21"/>
        </w:rPr>
        <w:t>联系人：__________________</w:t>
      </w:r>
    </w:p>
    <w:p>
      <w:r>
        <w:rPr>
          <w:rFonts w:ascii="宋体" w:hAnsi="宋体"/>
          <w:sz w:val="21"/>
        </w:rPr>
        <w:t>联系电话：__________________</w:t>
      </w:r>
    </w:p>
    <w:p/>
    <w:p>
      <w:r>
        <w:rPr>
          <w:rFonts w:ascii="黑体" w:hAnsi="黑体"/>
          <w:sz w:val="22"/>
        </w:rPr>
        <w:t>乙方（开发方）：</w:t>
      </w:r>
      <w:r>
        <w:rPr>
          <w:rFonts w:ascii="宋体" w:hAnsi="宋体"/>
          <w:sz w:val="22"/>
        </w:rPr>
        <w:t>铭见（上海）智能科技有限公司</w:t>
      </w:r>
    </w:p>
    <w:p>
      <w:r>
        <w:rPr>
          <w:rFonts w:ascii="宋体" w:hAnsi="宋体"/>
          <w:sz w:val="21"/>
        </w:rPr>
        <w:t>统一社会信用代码：__________________________</w:t>
      </w:r>
    </w:p>
    <w:p>
      <w:r>
        <w:rPr>
          <w:rFonts w:ascii="宋体" w:hAnsi="宋体"/>
          <w:sz w:val="21"/>
        </w:rPr>
        <w:t>法定代表人：__________________</w:t>
      </w:r>
    </w:p>
    <w:p>
      <w:r>
        <w:rPr>
          <w:rFonts w:ascii="宋体" w:hAnsi="宋体"/>
          <w:sz w:val="21"/>
        </w:rPr>
        <w:t>地址：__________________________</w:t>
      </w:r>
    </w:p>
    <w:p>
      <w:r>
        <w:rPr>
          <w:rFonts w:ascii="宋体" w:hAnsi="宋体"/>
          <w:sz w:val="21"/>
        </w:rPr>
        <w:t>联系人：__________________</w:t>
      </w:r>
    </w:p>
    <w:p>
      <w:r>
        <w:rPr>
          <w:rFonts w:ascii="宋体" w:hAnsi="宋体"/>
          <w:sz w:val="21"/>
        </w:rPr>
        <w:t>联系电话：__________________</w:t>
      </w:r>
    </w:p>
    <w:p/>
    <w:p>
      <w:r>
        <w:rPr>
          <w:rFonts w:ascii="黑体" w:hAnsi="黑体"/>
          <w:sz w:val="22"/>
        </w:rPr>
        <w:t>鉴于：</w:t>
      </w:r>
    </w:p>
    <w:p>
      <w:r>
        <w:rPr>
          <w:rFonts w:ascii="宋体" w:hAnsi="宋体"/>
          <w:color w:val="333333"/>
          <w:sz w:val="21"/>
        </w:rPr>
        <w:t>甲方因业务发展需要，拟委托乙方为其定制开发铜材行业进销存管理系统，乙方具备相应的技术能力和行业经验，双方本着平等自愿、诚实信用的原则，经友好协商，达成如下合同条款，以资共同遵守。</w:t>
      </w:r>
    </w:p>
    <w:p/>
    <w:p>
      <w:pPr>
        <w:pStyle w:val="Heading3"/>
      </w:pPr>
      <w:r>
        <w:rPr>
          <w:rFonts w:ascii="黑体" w:hAnsi="黑体"/>
        </w:rPr>
        <w:t>第一条 定义</w:t>
      </w:r>
    </w:p>
    <w:p>
      <w:pPr>
        <w:spacing w:after="80"/>
      </w:pPr>
      <w:r>
        <w:rPr>
          <w:rFonts w:ascii="宋体" w:hAnsi="宋体"/>
        </w:rPr>
        <w:t>除非本合同另有约定,以下术语在本合同中的含义如下:</w:t>
      </w:r>
    </w:p>
    <w:p>
      <w:pPr>
        <w:spacing w:after="80"/>
      </w:pPr>
      <w:r>
        <w:rPr>
          <w:rFonts w:ascii="宋体" w:hAnsi="宋体"/>
        </w:rPr>
        <w:t xml:space="preserve">1.1 </w:t>
      </w:r>
      <w:r>
        <w:rPr>
          <w:rFonts w:ascii="黑体" w:hAnsi="黑体"/>
          <w:b/>
        </w:rPr>
        <w:t>系统</w:t>
      </w:r>
      <w:r>
        <w:rPr>
          <w:rFonts w:ascii="宋体" w:hAnsi="宋体"/>
        </w:rPr>
        <w:t>:指本合同项下乙方为甲方定制开发的"今宽进销存管理系统",包括但不限于软件程序、相关文档、操作手册等。</w:t>
      </w:r>
    </w:p>
    <w:p>
      <w:pPr>
        <w:spacing w:after="80"/>
      </w:pPr>
      <w:r>
        <w:rPr>
          <w:rFonts w:ascii="宋体" w:hAnsi="宋体"/>
        </w:rPr>
        <w:t xml:space="preserve">1.2 </w:t>
      </w:r>
      <w:r>
        <w:rPr>
          <w:rFonts w:ascii="黑体" w:hAnsi="黑体"/>
          <w:b/>
        </w:rPr>
        <w:t>功能模块</w:t>
      </w:r>
      <w:r>
        <w:rPr>
          <w:rFonts w:ascii="宋体" w:hAnsi="宋体"/>
        </w:rPr>
        <w:t>:指系统中实现特定业务功能的组成部分,包括订单管理、委外订单管理、库存管理、分切加工管理、铜牌(铜排)处理、磅差管理、二维码溯源、经营报表及数据分析等。</w:t>
      </w:r>
    </w:p>
    <w:p>
      <w:pPr>
        <w:spacing w:after="80"/>
      </w:pPr>
      <w:r>
        <w:rPr>
          <w:rFonts w:ascii="宋体" w:hAnsi="宋体"/>
        </w:rPr>
        <w:t xml:space="preserve">1.3 </w:t>
      </w:r>
      <w:r>
        <w:rPr>
          <w:rFonts w:ascii="黑体" w:hAnsi="黑体"/>
          <w:b/>
        </w:rPr>
        <w:t>验收</w:t>
      </w:r>
      <w:r>
        <w:rPr>
          <w:rFonts w:ascii="宋体" w:hAnsi="宋体"/>
        </w:rPr>
        <w:t>:指甲方按照本合同约定的验收标准对系统功能进行测试和确认,确认结果满足约定要求的法律事实。</w:t>
      </w:r>
    </w:p>
    <w:p>
      <w:pPr>
        <w:spacing w:after="80"/>
      </w:pPr>
      <w:r>
        <w:rPr>
          <w:rFonts w:ascii="宋体" w:hAnsi="宋体"/>
        </w:rPr>
        <w:t xml:space="preserve">1.4 </w:t>
      </w:r>
      <w:r>
        <w:rPr>
          <w:rFonts w:ascii="黑体" w:hAnsi="黑体"/>
          <w:b/>
        </w:rPr>
        <w:t>交付物</w:t>
      </w:r>
      <w:r>
        <w:rPr>
          <w:rFonts w:ascii="宋体" w:hAnsi="宋体"/>
        </w:rPr>
        <w:t>:指乙方按合同约定向甲方交付的全部成果,包括可运行的线上系统、操作手册、管理员手册、技术文档等。</w:t>
      </w:r>
    </w:p>
    <w:p>
      <w:pPr>
        <w:spacing w:after="80"/>
      </w:pPr>
      <w:r>
        <w:rPr>
          <w:rFonts w:ascii="宋体" w:hAnsi="宋体"/>
        </w:rPr>
        <w:t xml:space="preserve">1.5 </w:t>
      </w:r>
      <w:r>
        <w:rPr>
          <w:rFonts w:ascii="黑体" w:hAnsi="黑体"/>
          <w:b/>
        </w:rPr>
        <w:t>维保期</w:t>
      </w:r>
      <w:r>
        <w:rPr>
          <w:rFonts w:ascii="宋体" w:hAnsi="宋体"/>
        </w:rPr>
        <w:t>:指系统整体验收通过后,乙方为甲方提供免费技术维护和售后服务的期间。</w:t>
      </w:r>
    </w:p>
    <w:p>
      <w:pPr>
        <w:spacing w:after="80"/>
      </w:pPr>
      <w:r>
        <w:rPr>
          <w:rFonts w:ascii="宋体" w:hAnsi="宋体"/>
        </w:rPr>
        <w:t xml:space="preserve">1.6 </w:t>
      </w:r>
      <w:r>
        <w:rPr>
          <w:rFonts w:ascii="黑体" w:hAnsi="黑体"/>
          <w:b/>
        </w:rPr>
        <w:t>工作日</w:t>
      </w:r>
      <w:r>
        <w:rPr>
          <w:rFonts w:ascii="宋体" w:hAnsi="宋体"/>
        </w:rPr>
        <w:t>:指中国法定工作日(周一至周五,不含法定节假日)。</w:t>
      </w:r>
    </w:p>
    <w:p>
      <w:pPr>
        <w:pStyle w:val="Heading3"/>
      </w:pPr>
      <w:r>
        <w:rPr>
          <w:rFonts w:ascii="黑体" w:hAnsi="黑体"/>
        </w:rPr>
        <w:t>第二条 项目范围</w:t>
      </w:r>
    </w:p>
    <w:p>
      <w:pPr>
        <w:spacing w:after="80"/>
      </w:pPr>
      <w:r>
        <w:rPr>
          <w:rFonts w:ascii="宋体" w:hAnsi="宋体"/>
        </w:rPr>
        <w:t>2.1 本合同项下的项目为</w:t>
      </w:r>
      <w:r>
        <w:rPr>
          <w:rFonts w:ascii="黑体" w:hAnsi="黑体"/>
          <w:b/>
        </w:rPr>
        <w:t>安徽今宽新材料科技有限公司进销存管理系统定制开发</w:t>
      </w:r>
      <w:r>
        <w:rPr>
          <w:rFonts w:ascii="宋体" w:hAnsi="宋体"/>
        </w:rPr>
        <w:t>,项目范围包括系统设计、开发、测试、部署、培训、维保等全部服务。</w:t>
      </w:r>
    </w:p>
    <w:p>
      <w:pPr>
        <w:spacing w:after="80"/>
      </w:pPr>
      <w:r>
        <w:rPr>
          <w:rFonts w:ascii="宋体" w:hAnsi="宋体"/>
        </w:rPr>
        <w:t>2.2 本项目作为整体交付,系统功能包含以下全部模块(统称"本项目"):</w:t>
      </w:r>
    </w:p>
    <w:tbl>
      <w:tblPr>
        <w:tblStyle w:val="TableGrid"/>
        <w:tblW w:type="auto" w:w="0"/>
        <w:jc w:val="center"/>
        <w:tblLook w:firstColumn="1" w:firstRow="1" w:lastColumn="0" w:lastRow="0" w:noHBand="0" w:noVBand="1" w:val="04A0"/>
      </w:tblPr>
      <w:tblGrid>
        <w:gridCol w:w="4323"/>
        <w:gridCol w:w="4323"/>
      </w:tblGrid>
      <w:tr>
        <w:tc>
          <w:tcPr>
            <w:tcW w:type="dxa" w:w="4323"/>
            <w:shd w:fill="F0F2F5"/>
          </w:tcPr>
          <w:p>
            <w:r/>
            <w:r>
              <w:rPr>
                <w:rFonts w:ascii="黑体" w:hAnsi="黑体"/>
                <w:b/>
                <w:sz w:val="18"/>
              </w:rPr>
              <w:t>模块</w:t>
            </w:r>
          </w:p>
        </w:tc>
        <w:tc>
          <w:tcPr>
            <w:tcW w:type="dxa" w:w="4323"/>
            <w:shd w:fill="F0F2F5"/>
          </w:tcPr>
          <w:p>
            <w:r/>
            <w:r>
              <w:rPr>
                <w:rFonts w:ascii="黑体" w:hAnsi="黑体"/>
                <w:b/>
                <w:sz w:val="18"/>
              </w:rPr>
              <w:t>说明</w:t>
            </w:r>
          </w:p>
        </w:tc>
      </w:tr>
      <w:tr>
        <w:tc>
          <w:tcPr>
            <w:tcW w:type="dxa" w:w="4323"/>
          </w:tcPr>
          <w:p>
            <w:r/>
            <w:r>
              <w:rPr>
                <w:rFonts w:ascii="宋体" w:hAnsi="宋体"/>
                <w:sz w:val="18"/>
              </w:rPr>
              <w:t>AI 订单识别</w:t>
            </w:r>
          </w:p>
        </w:tc>
        <w:tc>
          <w:tcPr>
            <w:tcW w:type="dxa" w:w="4323"/>
          </w:tcPr>
          <w:p>
            <w:r/>
            <w:r>
              <w:rPr>
                <w:rFonts w:ascii="宋体" w:hAnsi="宋体"/>
                <w:sz w:val="18"/>
              </w:rPr>
              <w:t>✅ 已交付,直接复用</w:t>
            </w:r>
          </w:p>
        </w:tc>
      </w:tr>
      <w:tr>
        <w:tc>
          <w:tcPr>
            <w:tcW w:type="dxa" w:w="4323"/>
          </w:tcPr>
          <w:p>
            <w:r/>
            <w:r>
              <w:rPr>
                <w:rFonts w:ascii="宋体" w:hAnsi="宋体"/>
                <w:sz w:val="18"/>
              </w:rPr>
              <w:t>订单管理 + 委外订单管理</w:t>
            </w:r>
          </w:p>
        </w:tc>
        <w:tc>
          <w:tcPr>
            <w:tcW w:type="dxa" w:w="4323"/>
          </w:tcPr>
          <w:p>
            <w:r/>
            <w:r>
              <w:rPr>
                <w:rFonts w:ascii="宋体" w:hAnsi="宋体"/>
                <w:sz w:val="18"/>
              </w:rPr>
              <w:t>全部包含在本次合同范围内</w:t>
            </w:r>
          </w:p>
        </w:tc>
      </w:tr>
      <w:tr>
        <w:tc>
          <w:tcPr>
            <w:tcW w:type="dxa" w:w="4323"/>
          </w:tcPr>
          <w:p>
            <w:r/>
            <w:r>
              <w:rPr>
                <w:rFonts w:ascii="宋体" w:hAnsi="宋体"/>
                <w:sz w:val="18"/>
              </w:rPr>
              <w:t>库存管理 + 基础报表</w:t>
            </w:r>
          </w:p>
        </w:tc>
        <w:tc>
          <w:tcPr>
            <w:tcW w:type="dxa" w:w="4323"/>
          </w:tcPr>
          <w:p>
            <w:r/>
            <w:r>
              <w:rPr>
                <w:rFonts w:ascii="宋体" w:hAnsi="宋体"/>
                <w:sz w:val="18"/>
              </w:rPr>
              <w:t>全部包含在本次合同范围内</w:t>
            </w:r>
          </w:p>
        </w:tc>
      </w:tr>
      <w:tr>
        <w:tc>
          <w:tcPr>
            <w:tcW w:type="dxa" w:w="4323"/>
          </w:tcPr>
          <w:p>
            <w:r/>
            <w:r>
              <w:rPr>
                <w:rFonts w:ascii="宋体" w:hAnsi="宋体"/>
                <w:sz w:val="18"/>
              </w:rPr>
              <w:t>分切加工 + 出库全流程 + 铜牌/磅差/多订单分切</w:t>
            </w:r>
          </w:p>
        </w:tc>
        <w:tc>
          <w:tcPr>
            <w:tcW w:type="dxa" w:w="4323"/>
          </w:tcPr>
          <w:p>
            <w:r/>
            <w:r>
              <w:rPr>
                <w:rFonts w:ascii="宋体" w:hAnsi="宋体"/>
                <w:sz w:val="18"/>
              </w:rPr>
              <w:t>全部包含在本次合同范围内</w:t>
            </w:r>
          </w:p>
        </w:tc>
      </w:tr>
      <w:tr>
        <w:tc>
          <w:tcPr>
            <w:tcW w:type="dxa" w:w="4323"/>
          </w:tcPr>
          <w:p>
            <w:r/>
            <w:r>
              <w:rPr>
                <w:rFonts w:ascii="宋体" w:hAnsi="宋体"/>
                <w:sz w:val="18"/>
              </w:rPr>
              <w:t>二维码全链路溯源(对接现有标签系统)</w:t>
            </w:r>
          </w:p>
        </w:tc>
        <w:tc>
          <w:tcPr>
            <w:tcW w:type="dxa" w:w="4323"/>
          </w:tcPr>
          <w:p>
            <w:r/>
            <w:r>
              <w:rPr>
                <w:rFonts w:ascii="宋体" w:hAnsi="宋体"/>
                <w:sz w:val="18"/>
              </w:rPr>
              <w:t>全部包含在本次合同范围内</w:t>
            </w:r>
          </w:p>
        </w:tc>
      </w:tr>
      <w:tr>
        <w:tc>
          <w:tcPr>
            <w:tcW w:type="dxa" w:w="4323"/>
          </w:tcPr>
          <w:p>
            <w:r/>
            <w:r>
              <w:rPr>
                <w:rFonts w:ascii="宋体" w:hAnsi="宋体"/>
                <w:sz w:val="18"/>
              </w:rPr>
              <w:t>经营报表 + 数据分析</w:t>
            </w:r>
          </w:p>
        </w:tc>
        <w:tc>
          <w:tcPr>
            <w:tcW w:type="dxa" w:w="4323"/>
          </w:tcPr>
          <w:p>
            <w:r/>
            <w:r>
              <w:rPr>
                <w:rFonts w:ascii="宋体" w:hAnsi="宋体"/>
                <w:sz w:val="18"/>
              </w:rPr>
              <w:t>全部包含在本次合同范围内</w:t>
            </w:r>
          </w:p>
        </w:tc>
      </w:tr>
    </w:tbl>
    <w:p/>
    <w:p>
      <w:pPr>
        <w:spacing w:after="80"/>
      </w:pPr>
      <w:r>
        <w:rPr>
          <w:rFonts w:ascii="宋体" w:hAnsi="宋体"/>
        </w:rPr>
        <w:t>2.3 上述全部模块的详细功能需求、技术规格、验收标准等内容,以《今宽进销存系统-需求方案-v4.0》(以下简称"《需求方案》")为准,该《需求方案》作为本合同附件一,与本合同具有同等法律效力。</w:t>
      </w:r>
    </w:p>
    <w:p>
      <w:pPr>
        <w:spacing w:after="80"/>
      </w:pPr>
      <w:r>
        <w:rPr>
          <w:rFonts w:ascii="宋体" w:hAnsi="宋体"/>
        </w:rPr>
        <w:t xml:space="preserve">2.4 </w:t>
      </w:r>
      <w:r>
        <w:rPr>
          <w:rFonts w:ascii="黑体" w:hAnsi="黑体"/>
          <w:b/>
        </w:rPr>
        <w:t>项目总价</w:t>
      </w:r>
      <w:r>
        <w:rPr>
          <w:rFonts w:ascii="宋体" w:hAnsi="宋体"/>
        </w:rPr>
        <w:t>:本合同价格为项目总价,包含上述全部模块的开发、部署、培训及相关服务。乙方不得以合约为由另行收取其他费用,但经双方书面确认的新增需求或需求变更除外。</w:t>
      </w:r>
    </w:p>
    <w:p>
      <w:pPr>
        <w:spacing w:after="80"/>
      </w:pPr>
      <w:r>
        <w:rPr>
          <w:rFonts w:ascii="宋体" w:hAnsi="宋体"/>
        </w:rPr>
        <w:t xml:space="preserve">2.5 </w:t>
      </w:r>
      <w:r>
        <w:rPr>
          <w:rFonts w:ascii="黑体" w:hAnsi="黑体"/>
          <w:b/>
        </w:rPr>
        <w:t>需求变更机制</w:t>
      </w:r>
      <w:r>
        <w:rPr>
          <w:rFonts w:ascii="宋体" w:hAnsi="宋体"/>
        </w:rPr>
        <w:t>:甲方在项目实施过程中或系统上线后提出的新增功能需求或已确认需求的变更,乙方将评估其性质和影响后,按以下原则处理:</w:t>
      </w:r>
    </w:p>
    <w:p>
      <w:pPr>
        <w:pStyle w:val="ListBullet"/>
        <w:spacing w:after="40"/>
      </w:pPr>
      <w:r>
        <w:t>**日常优化调整**:对于使用体验优化、字段显示调整、报表格式微调等属于系统正常运维范畴的工作,乙方在维保期内作为持续优化服务免费处理。</w:t>
      </w:r>
    </w:p>
    <w:p>
      <w:pPr>
        <w:pStyle w:val="ListBullet"/>
        <w:spacing w:after="40"/>
      </w:pPr>
      <w:r>
        <w:t>**专项需求开发**:对于超出日常优化范畴的新增功能模块或实质性功能变更,乙方评估工作量后另行报价,经双方书面确认后实施。</w:t>
      </w:r>
    </w:p>
    <w:p>
      <w:pPr>
        <w:spacing w:after="80"/>
      </w:pPr>
      <w:r>
        <w:rPr>
          <w:rFonts w:ascii="宋体" w:hAnsi="宋体"/>
        </w:rPr>
        <w:t>上述两类情形的具体界定,由双方本着合作共赢的原则协商确定。乙方承诺对甲方提出的合理优化需求积极响应,甲方理解实质性新功能开发需另行计费。</w:t>
      </w:r>
    </w:p>
    <w:p>
      <w:pPr>
        <w:pStyle w:val="Heading3"/>
      </w:pPr>
      <w:r>
        <w:rPr>
          <w:rFonts w:ascii="黑体" w:hAnsi="黑体"/>
        </w:rPr>
        <w:t>第三条 合同金额与付款方式</w:t>
      </w:r>
    </w:p>
    <w:p>
      <w:pPr>
        <w:pStyle w:val="Heading4"/>
      </w:pPr>
      <w:r>
        <w:rPr>
          <w:rFonts w:ascii="黑体" w:hAnsi="黑体"/>
        </w:rPr>
        <w:t>3.1 合同总价</w:t>
      </w:r>
    </w:p>
    <w:p>
      <w:pPr>
        <w:spacing w:after="80"/>
      </w:pPr>
      <w:r>
        <w:rPr>
          <w:rFonts w:ascii="宋体" w:hAnsi="宋体"/>
        </w:rPr>
        <w:t xml:space="preserve">本合同总金额为人民币 </w:t>
      </w:r>
      <w:r>
        <w:rPr>
          <w:rFonts w:ascii="黑体" w:hAnsi="黑体"/>
          <w:b/>
        </w:rPr>
        <w:t>玖万陆仟捌佰元整(¥96,800.00)</w:t>
      </w:r>
      <w:r>
        <w:rPr>
          <w:rFonts w:ascii="宋体" w:hAnsi="宋体"/>
        </w:rPr>
        <w:t>(大写:人民币玖万陆仟捌佰元整)。</w:t>
      </w:r>
    </w:p>
    <w:p>
      <w:pPr>
        <w:spacing w:after="80"/>
      </w:pPr>
      <w:r>
        <w:rPr>
          <w:rFonts w:ascii="宋体" w:hAnsi="宋体"/>
        </w:rPr>
        <w:t>该价格为含税价格,包含但不限于系统设计、开发、测试、部署、培训、文档编制、首年维保等服务所需的全部费用,涵盖 AI 订单识别、订单管理、委外订单管理、库存管理、分切加工管理、铜牌特殊处理、磅差管理、二维码溯源、经营报表及数据分析等全部功能模块。具体价格明细以《今宽项目-进销存系统报价方案-v4.1》(以下简称"《报价方案》")为准,该《报价方案》作为本合同附件二,与本合同具有同等法律效力。</w:t>
      </w:r>
    </w:p>
    <w:p>
      <w:pPr>
        <w:pStyle w:val="Heading4"/>
      </w:pPr>
      <w:r>
        <w:rPr>
          <w:rFonts w:ascii="黑体" w:hAnsi="黑体"/>
        </w:rPr>
        <w:t>3.2 付款方式</w:t>
      </w:r>
    </w:p>
    <w:p>
      <w:pPr>
        <w:spacing w:after="80"/>
      </w:pPr>
      <w:r>
        <w:rPr>
          <w:rFonts w:ascii="宋体" w:hAnsi="宋体"/>
        </w:rPr>
        <w:t>双方同意按照以下节点和比例支付合同款项:</w:t>
      </w:r>
    </w:p>
    <w:tbl>
      <w:tblPr>
        <w:tblStyle w:val="TableGrid"/>
        <w:tblW w:type="auto" w:w="0"/>
        <w:jc w:val="center"/>
        <w:tblLook w:firstColumn="1" w:firstRow="1" w:lastColumn="0" w:lastRow="0" w:noHBand="0" w:noVBand="1" w:val="04A0"/>
      </w:tblPr>
      <w:tblGrid>
        <w:gridCol w:w="2161"/>
        <w:gridCol w:w="2161"/>
        <w:gridCol w:w="2161"/>
        <w:gridCol w:w="2161"/>
      </w:tblGrid>
      <w:tr>
        <w:tc>
          <w:tcPr>
            <w:tcW w:type="dxa" w:w="2161"/>
            <w:shd w:fill="F0F2F5"/>
          </w:tcPr>
          <w:p>
            <w:r/>
            <w:r>
              <w:rPr>
                <w:rFonts w:ascii="黑体" w:hAnsi="黑体"/>
                <w:b/>
                <w:sz w:val="18"/>
              </w:rPr>
              <w:t>付款节点</w:t>
            </w:r>
          </w:p>
        </w:tc>
        <w:tc>
          <w:tcPr>
            <w:tcW w:type="dxa" w:w="2161"/>
            <w:shd w:fill="F0F2F5"/>
          </w:tcPr>
          <w:p>
            <w:r/>
            <w:r>
              <w:rPr>
                <w:rFonts w:ascii="黑体" w:hAnsi="黑体"/>
                <w:b/>
                <w:sz w:val="18"/>
              </w:rPr>
              <w:t>支付比例</w:t>
            </w:r>
          </w:p>
        </w:tc>
        <w:tc>
          <w:tcPr>
            <w:tcW w:type="dxa" w:w="2161"/>
            <w:shd w:fill="F0F2F5"/>
          </w:tcPr>
          <w:p>
            <w:r/>
            <w:r>
              <w:rPr>
                <w:rFonts w:ascii="黑体" w:hAnsi="黑体"/>
                <w:b/>
                <w:sz w:val="18"/>
              </w:rPr>
              <w:t>金额</w:t>
            </w:r>
          </w:p>
        </w:tc>
        <w:tc>
          <w:tcPr>
            <w:tcW w:type="dxa" w:w="2161"/>
            <w:shd w:fill="F0F2F5"/>
          </w:tcPr>
          <w:p>
            <w:r/>
            <w:r>
              <w:rPr>
                <w:rFonts w:ascii="黑体" w:hAnsi="黑体"/>
                <w:b/>
                <w:sz w:val="18"/>
              </w:rPr>
              <w:t>付款条件</w:t>
            </w:r>
          </w:p>
        </w:tc>
      </w:tr>
      <w:tr>
        <w:tc>
          <w:tcPr>
            <w:tcW w:type="dxa" w:w="2161"/>
          </w:tcPr>
          <w:p>
            <w:r/>
            <w:r>
              <w:rPr>
                <w:rFonts w:ascii="宋体" w:hAnsi="宋体"/>
                <w:sz w:val="18"/>
              </w:rPr>
              <w:t>:--------:</w:t>
            </w:r>
          </w:p>
        </w:tc>
        <w:tc>
          <w:tcPr>
            <w:tcW w:type="dxa" w:w="2161"/>
          </w:tcPr>
          <w:p>
            <w:r/>
            <w:r>
              <w:rPr>
                <w:rFonts w:ascii="宋体" w:hAnsi="宋体"/>
                <w:sz w:val="18"/>
              </w:rPr>
              <w:t>:-------:</w:t>
            </w:r>
          </w:p>
        </w:tc>
        <w:tc>
          <w:tcPr>
            <w:tcW w:type="dxa" w:w="2161"/>
          </w:tcPr>
          <w:p>
            <w:r/>
            <w:r>
              <w:rPr>
                <w:rFonts w:ascii="宋体" w:hAnsi="宋体"/>
                <w:sz w:val="18"/>
              </w:rPr>
              <w:t>:----:</w:t>
            </w:r>
          </w:p>
        </w:tc>
        <w:tc>
          <w:tcPr>
            <w:tcW w:type="dxa" w:w="2161"/>
          </w:tcPr>
          <w:p>
            <w:r/>
            <w:r>
              <w:rPr>
                <w:rFonts w:ascii="宋体" w:hAnsi="宋体"/>
                <w:sz w:val="18"/>
              </w:rPr>
              <w:t>---------</w:t>
            </w:r>
          </w:p>
        </w:tc>
      </w:tr>
      <w:tr>
        <w:tc>
          <w:tcPr>
            <w:tcW w:type="dxa" w:w="2161"/>
          </w:tcPr>
          <w:p>
            <w:r/>
            <w:r>
              <w:rPr>
                <w:rFonts w:ascii="宋体" w:hAnsi="宋体"/>
                <w:sz w:val="18"/>
              </w:rPr>
              <w:t>**第一笔:签约款**</w:t>
            </w:r>
          </w:p>
        </w:tc>
        <w:tc>
          <w:tcPr>
            <w:tcW w:type="dxa" w:w="2161"/>
          </w:tcPr>
          <w:p>
            <w:r/>
            <w:r>
              <w:rPr>
                <w:rFonts w:ascii="宋体" w:hAnsi="宋体"/>
                <w:sz w:val="18"/>
              </w:rPr>
              <w:t>**40%**</w:t>
            </w:r>
          </w:p>
        </w:tc>
        <w:tc>
          <w:tcPr>
            <w:tcW w:type="dxa" w:w="2161"/>
          </w:tcPr>
          <w:p>
            <w:r/>
            <w:r>
              <w:rPr>
                <w:rFonts w:ascii="宋体" w:hAnsi="宋体"/>
                <w:sz w:val="18"/>
              </w:rPr>
              <w:t>**¥38,720.00**</w:t>
            </w:r>
          </w:p>
        </w:tc>
        <w:tc>
          <w:tcPr>
            <w:tcW w:type="dxa" w:w="2161"/>
          </w:tcPr>
          <w:p>
            <w:r/>
            <w:r>
              <w:rPr>
                <w:rFonts w:ascii="宋体" w:hAnsi="宋体"/>
                <w:sz w:val="18"/>
              </w:rPr>
              <w:t>本合同签订之日起 5 个工作日内,甲方向乙方支付</w:t>
            </w:r>
          </w:p>
        </w:tc>
      </w:tr>
      <w:tr>
        <w:tc>
          <w:tcPr>
            <w:tcW w:type="dxa" w:w="2161"/>
          </w:tcPr>
          <w:p>
            <w:r/>
            <w:r>
              <w:rPr>
                <w:rFonts w:ascii="宋体" w:hAnsi="宋体"/>
                <w:sz w:val="18"/>
              </w:rPr>
              <w:t>**第二笔:中期款**</w:t>
            </w:r>
          </w:p>
        </w:tc>
        <w:tc>
          <w:tcPr>
            <w:tcW w:type="dxa" w:w="2161"/>
          </w:tcPr>
          <w:p>
            <w:r/>
            <w:r>
              <w:rPr>
                <w:rFonts w:ascii="宋体" w:hAnsi="宋体"/>
                <w:sz w:val="18"/>
              </w:rPr>
              <w:t>**30%**</w:t>
            </w:r>
          </w:p>
        </w:tc>
        <w:tc>
          <w:tcPr>
            <w:tcW w:type="dxa" w:w="2161"/>
          </w:tcPr>
          <w:p>
            <w:r/>
            <w:r>
              <w:rPr>
                <w:rFonts w:ascii="宋体" w:hAnsi="宋体"/>
                <w:sz w:val="18"/>
              </w:rPr>
              <w:t>**¥29,040.00**</w:t>
            </w:r>
          </w:p>
        </w:tc>
        <w:tc>
          <w:tcPr>
            <w:tcW w:type="dxa" w:w="2161"/>
          </w:tcPr>
          <w:p>
            <w:r/>
            <w:r>
              <w:rPr>
                <w:rFonts w:ascii="宋体" w:hAnsi="宋体"/>
                <w:sz w:val="18"/>
              </w:rPr>
              <w:t>系统核心功能(订单管理、库存管理、分切加工)完成内部联调测试通过,经甲方书面确认后 5 个工作日内支付</w:t>
            </w:r>
          </w:p>
        </w:tc>
      </w:tr>
      <w:tr>
        <w:tc>
          <w:tcPr>
            <w:tcW w:type="dxa" w:w="2161"/>
          </w:tcPr>
          <w:p>
            <w:r/>
            <w:r>
              <w:rPr>
                <w:rFonts w:ascii="宋体" w:hAnsi="宋体"/>
                <w:sz w:val="18"/>
              </w:rPr>
              <w:t>**第三笔:验收款**</w:t>
            </w:r>
          </w:p>
        </w:tc>
        <w:tc>
          <w:tcPr>
            <w:tcW w:type="dxa" w:w="2161"/>
          </w:tcPr>
          <w:p>
            <w:r/>
            <w:r>
              <w:rPr>
                <w:rFonts w:ascii="宋体" w:hAnsi="宋体"/>
                <w:sz w:val="18"/>
              </w:rPr>
              <w:t>**30%**</w:t>
            </w:r>
          </w:p>
        </w:tc>
        <w:tc>
          <w:tcPr>
            <w:tcW w:type="dxa" w:w="2161"/>
          </w:tcPr>
          <w:p>
            <w:r/>
            <w:r>
              <w:rPr>
                <w:rFonts w:ascii="宋体" w:hAnsi="宋体"/>
                <w:sz w:val="18"/>
              </w:rPr>
              <w:t>**¥29,040.00**</w:t>
            </w:r>
          </w:p>
        </w:tc>
        <w:tc>
          <w:tcPr>
            <w:tcW w:type="dxa" w:w="2161"/>
          </w:tcPr>
          <w:p>
            <w:r/>
            <w:r>
              <w:rPr>
                <w:rFonts w:ascii="宋体" w:hAnsi="宋体"/>
                <w:sz w:val="18"/>
              </w:rPr>
              <w:t>系统全部功能通过最终验收,双方签署《项目验收报告》后 5 个工作日内支付</w:t>
            </w:r>
          </w:p>
        </w:tc>
      </w:tr>
    </w:tbl>
    <w:p/>
    <w:p>
      <w:pPr>
        <w:spacing w:after="80"/>
      </w:pPr>
      <w:r>
        <w:rPr>
          <w:rFonts w:ascii="宋体" w:hAnsi="宋体"/>
        </w:rPr>
      </w:r>
      <w:r>
        <w:rPr>
          <w:rFonts w:ascii="黑体" w:hAnsi="黑体"/>
          <w:b/>
        </w:rPr>
        <w:t>合计</w:t>
      </w:r>
      <w:r>
        <w:rPr>
          <w:rFonts w:ascii="宋体" w:hAnsi="宋体"/>
        </w:rPr>
        <w:t>:</w:t>
      </w:r>
      <w:r>
        <w:rPr>
          <w:rFonts w:ascii="黑体" w:hAnsi="黑体"/>
          <w:b/>
        </w:rPr>
        <w:t>¥96,800.00</w:t>
      </w:r>
      <w:r>
        <w:rPr>
          <w:rFonts w:ascii="宋体" w:hAnsi="宋体"/>
        </w:rPr>
        <w:t>(人民币玖万陆仟捌佰元整)</w:t>
      </w:r>
    </w:p>
    <w:p>
      <w:pPr>
        <w:spacing w:after="80"/>
      </w:pPr>
      <w:r>
        <w:rPr>
          <w:rFonts w:ascii="宋体" w:hAnsi="宋体"/>
        </w:rPr>
        <w:t xml:space="preserve">3.2.1 </w:t>
      </w:r>
      <w:r>
        <w:rPr>
          <w:rFonts w:ascii="黑体" w:hAnsi="黑体"/>
          <w:b/>
        </w:rPr>
        <w:t>签约款说明</w:t>
      </w:r>
      <w:r>
        <w:rPr>
          <w:rFonts w:ascii="宋体" w:hAnsi="宋体"/>
        </w:rPr>
        <w:t>:首笔付款对应项目全部模块的启动。因本项目为整体交付,不设分阶段取消机制。如甲方在项目过程中决定终止合作,乙方已完成的工作量按实际进度折算费用,甲方支付对应费用后剩余部分返还。</w:t>
      </w:r>
    </w:p>
    <w:p>
      <w:pPr>
        <w:spacing w:after="80"/>
      </w:pPr>
      <w:r>
        <w:rPr>
          <w:rFonts w:ascii="宋体" w:hAnsi="宋体"/>
        </w:rPr>
        <w:t xml:space="preserve">3.2.2 </w:t>
      </w:r>
      <w:r>
        <w:rPr>
          <w:rFonts w:ascii="黑体" w:hAnsi="黑体"/>
          <w:b/>
        </w:rPr>
        <w:t>中期款说明</w:t>
      </w:r>
      <w:r>
        <w:rPr>
          <w:rFonts w:ascii="宋体" w:hAnsi="宋体"/>
        </w:rPr>
        <w:t>:核心功能联调测试通过是指订单管理、库存管理和分切加工三大核心模块在测试环境中完成全链路联调,能够模拟从订单录入到出库发货的完整业务流程,且《需求方案》中对应主要验收项经甲方确认达标。</w:t>
      </w:r>
    </w:p>
    <w:p>
      <w:pPr>
        <w:spacing w:after="80"/>
      </w:pPr>
      <w:r>
        <w:rPr>
          <w:rFonts w:ascii="宋体" w:hAnsi="宋体"/>
        </w:rPr>
        <w:t xml:space="preserve">3.2.3 </w:t>
      </w:r>
      <w:r>
        <w:rPr>
          <w:rFonts w:ascii="黑体" w:hAnsi="黑体"/>
          <w:b/>
        </w:rPr>
        <w:t>逾期付款暂停权</w:t>
      </w:r>
      <w:r>
        <w:rPr>
          <w:rFonts w:ascii="宋体" w:hAnsi="宋体"/>
        </w:rPr>
        <w:t>:甲方未按合同约定时间足额支付任一期款项,逾期超过 15 个工作日的,乙方有权书面通知甲方暂停后续所有开发工作,暂停期间工期相应顺延,且不承担因此产生的任何延期责任。甲方在付清逾期款项后,乙方恢复开发工作,恢复后的交付期限按暂停天数等额顺延。</w:t>
      </w:r>
    </w:p>
    <w:p>
      <w:pPr>
        <w:pStyle w:val="Heading4"/>
      </w:pPr>
      <w:r>
        <w:rPr>
          <w:rFonts w:ascii="黑体" w:hAnsi="黑体"/>
        </w:rPr>
        <w:t>3.3 发票</w:t>
      </w:r>
    </w:p>
    <w:p>
      <w:pPr>
        <w:spacing w:after="80"/>
      </w:pPr>
      <w:r>
        <w:rPr>
          <w:rFonts w:ascii="宋体" w:hAnsi="宋体"/>
        </w:rPr>
        <w:t>乙方应在每次收款前向甲方开具等额合法有效的增值税专用发票,甲方在收到发票后安排付款。如乙方迟延开具发票,甲方的付款期限相应顺延。</w:t>
      </w:r>
    </w:p>
    <w:p>
      <w:pPr>
        <w:pStyle w:val="Heading4"/>
      </w:pPr>
      <w:r>
        <w:rPr>
          <w:rFonts w:ascii="黑体" w:hAnsi="黑体"/>
        </w:rPr>
        <w:t>3.4 收款账户</w:t>
      </w:r>
    </w:p>
    <w:p>
      <w:pPr>
        <w:spacing w:after="80"/>
      </w:pPr>
      <w:r>
        <w:rPr>
          <w:rFonts w:ascii="宋体" w:hAnsi="宋体"/>
        </w:rPr>
      </w:r>
      <w:r>
        <w:rPr>
          <w:rFonts w:ascii="黑体" w:hAnsi="黑体"/>
          <w:b/>
        </w:rPr>
        <w:t>乙方收款账户信息</w:t>
      </w:r>
      <w:r>
        <w:rPr>
          <w:rFonts w:ascii="宋体" w:hAnsi="宋体"/>
        </w:rPr>
        <w:t>:</w:t>
      </w:r>
    </w:p>
    <w:p>
      <w:pPr>
        <w:pStyle w:val="ListBullet"/>
        <w:spacing w:after="40"/>
      </w:pPr>
      <w:r>
        <w:t>**开户名**:铭见(上海)智能科技有限公司</w:t>
      </w:r>
    </w:p>
    <w:p>
      <w:pPr>
        <w:pStyle w:val="ListBullet"/>
        <w:spacing w:after="40"/>
      </w:pPr>
      <w:r>
        <w:t>**开户行**:__________________</w:t>
      </w:r>
    </w:p>
    <w:p>
      <w:pPr>
        <w:pStyle w:val="ListBullet"/>
        <w:spacing w:after="40"/>
      </w:pPr>
      <w:r>
        <w:t>**账号**:__________________</w:t>
      </w:r>
    </w:p>
    <w:p>
      <w:pPr>
        <w:pStyle w:val="Heading3"/>
      </w:pPr>
      <w:r>
        <w:rPr>
          <w:rFonts w:ascii="黑体" w:hAnsi="黑体"/>
        </w:rPr>
        <w:t>第四条 交付周期</w:t>
      </w:r>
    </w:p>
    <w:p>
      <w:pPr>
        <w:spacing w:after="80"/>
      </w:pPr>
      <w:r>
        <w:rPr>
          <w:rFonts w:ascii="宋体" w:hAnsi="宋体"/>
        </w:rPr>
        <w:t xml:space="preserve">4.1 本合同项下系统的开发周期预计为 </w:t>
      </w:r>
      <w:r>
        <w:rPr>
          <w:rFonts w:ascii="黑体" w:hAnsi="黑体"/>
          <w:b/>
        </w:rPr>
        <w:t>28 至 32 周</w:t>
      </w:r>
      <w:r>
        <w:rPr>
          <w:rFonts w:ascii="宋体" w:hAnsi="宋体"/>
        </w:rPr>
        <w:t>(约 7 至 8 个月),自本合同签订且甲方支付首笔签约款之日起计算。</w:t>
      </w:r>
    </w:p>
    <w:p>
      <w:pPr>
        <w:spacing w:after="80"/>
      </w:pPr>
      <w:r>
        <w:rPr>
          <w:rFonts w:ascii="宋体" w:hAnsi="宋体"/>
        </w:rPr>
        <w:t xml:space="preserve">4.2 系统开发工期预计为 </w:t>
      </w:r>
      <w:r>
        <w:rPr>
          <w:rFonts w:ascii="黑体" w:hAnsi="黑体"/>
          <w:b/>
        </w:rPr>
        <w:t>28 至 32 周</w:t>
      </w:r>
      <w:r>
        <w:rPr>
          <w:rFonts w:ascii="宋体" w:hAnsi="宋体"/>
        </w:rPr>
        <w:t>(约 7 至 8 个月),包含全部功能模块的研发、测试和部署(P0 AI 订单识别模块已交付,直接复用,不占用工期)。</w:t>
      </w:r>
    </w:p>
    <w:p>
      <w:pPr>
        <w:spacing w:after="80"/>
      </w:pPr>
      <w:r>
        <w:rPr>
          <w:rFonts w:ascii="宋体" w:hAnsi="宋体"/>
        </w:rPr>
        <w:t xml:space="preserve">4.3 </w:t>
      </w:r>
      <w:r>
        <w:rPr>
          <w:rFonts w:ascii="黑体" w:hAnsi="黑体"/>
          <w:b/>
        </w:rPr>
        <w:t>工期顺延</w:t>
      </w:r>
      <w:r>
        <w:rPr>
          <w:rFonts w:ascii="宋体" w:hAnsi="宋体"/>
        </w:rPr>
        <w:t>:如因以下原因导致工期延迟,交付周期相应顺延:</w:t>
      </w:r>
    </w:p>
    <w:p>
      <w:pPr>
        <w:pStyle w:val="ListBullet"/>
        <w:spacing w:after="40"/>
      </w:pPr>
      <w:r>
        <w:t>甲方未能按约定及时提供基础数据、测试反馈、需求确认等配合事项;</w:t>
      </w:r>
    </w:p>
    <w:p>
      <w:pPr>
        <w:pStyle w:val="ListBullet"/>
        <w:spacing w:after="40"/>
      </w:pPr>
      <w:r>
        <w:t>甲方提出实质性需求变更导致开发工作量增加;</w:t>
      </w:r>
    </w:p>
    <w:p>
      <w:pPr>
        <w:pStyle w:val="ListBullet"/>
        <w:spacing w:after="40"/>
      </w:pPr>
      <w:r>
        <w:t>不可抗力事件;</w:t>
      </w:r>
    </w:p>
    <w:p>
      <w:pPr>
        <w:pStyle w:val="ListBullet"/>
        <w:spacing w:after="40"/>
      </w:pPr>
      <w:r>
        <w:t>双方书面确认的其他情形。</w:t>
      </w:r>
    </w:p>
    <w:p>
      <w:pPr>
        <w:spacing w:after="80"/>
      </w:pPr>
      <w:r>
        <w:rPr>
          <w:rFonts w:ascii="宋体" w:hAnsi="宋体"/>
        </w:rPr>
        <w:t xml:space="preserve">4.4 </w:t>
      </w:r>
      <w:r>
        <w:rPr>
          <w:rFonts w:ascii="黑体" w:hAnsi="黑体"/>
          <w:b/>
        </w:rPr>
        <w:t>提前交付</w:t>
      </w:r>
      <w:r>
        <w:rPr>
          <w:rFonts w:ascii="宋体" w:hAnsi="宋体"/>
        </w:rPr>
        <w:t>:乙方可根据实际开发进度提前交付系统,甲方应按约定配合验收。</w:t>
      </w:r>
    </w:p>
    <w:p>
      <w:pPr>
        <w:pStyle w:val="Heading3"/>
      </w:pPr>
      <w:r>
        <w:rPr>
          <w:rFonts w:ascii="黑体" w:hAnsi="黑体"/>
        </w:rPr>
        <w:t>第五条 开发与交付</w:t>
      </w:r>
    </w:p>
    <w:p>
      <w:pPr>
        <w:pStyle w:val="Heading4"/>
      </w:pPr>
      <w:r>
        <w:rPr>
          <w:rFonts w:ascii="黑体" w:hAnsi="黑体"/>
        </w:rPr>
        <w:t>5.1 开发方式</w:t>
      </w:r>
    </w:p>
    <w:p>
      <w:pPr>
        <w:spacing w:after="80"/>
      </w:pPr>
      <w:r>
        <w:rPr>
          <w:rFonts w:ascii="宋体" w:hAnsi="宋体"/>
        </w:rPr>
        <w:t>5.1.1 系统采用云端部署模式,乙方负责提供和维护服务器运行环境。</w:t>
      </w:r>
    </w:p>
    <w:p>
      <w:pPr>
        <w:spacing w:after="80"/>
      </w:pPr>
      <w:r>
        <w:rPr>
          <w:rFonts w:ascii="宋体" w:hAnsi="宋体"/>
        </w:rPr>
        <w:t>5.1.2 系统基于浏览器访问,无需安装客户端软件,支持 PC 端和移动端使用。</w:t>
      </w:r>
    </w:p>
    <w:p>
      <w:pPr>
        <w:pStyle w:val="Heading4"/>
      </w:pPr>
      <w:r>
        <w:rPr>
          <w:rFonts w:ascii="黑体" w:hAnsi="黑体"/>
        </w:rPr>
        <w:t>5.2 交付方式</w:t>
      </w:r>
    </w:p>
    <w:p>
      <w:pPr>
        <w:spacing w:after="80"/>
      </w:pPr>
      <w:r>
        <w:rPr>
          <w:rFonts w:ascii="宋体" w:hAnsi="宋体"/>
        </w:rPr>
        <w:t>5.2.1 乙方以提供线上系统访问地址的方式向甲方交付系统。</w:t>
      </w:r>
    </w:p>
    <w:p>
      <w:pPr>
        <w:spacing w:after="80"/>
      </w:pPr>
      <w:r>
        <w:rPr>
          <w:rFonts w:ascii="宋体" w:hAnsi="宋体"/>
        </w:rPr>
        <w:t>5.2.2 每阶段开发完成后,乙方将系统部署至正式环境,通知甲方进行验收测试。</w:t>
      </w:r>
    </w:p>
    <w:p>
      <w:pPr>
        <w:pStyle w:val="Heading4"/>
      </w:pPr>
      <w:r>
        <w:rPr>
          <w:rFonts w:ascii="黑体" w:hAnsi="黑体"/>
        </w:rPr>
        <w:t>5.3 交付物</w:t>
      </w:r>
    </w:p>
    <w:p>
      <w:pPr>
        <w:spacing w:after="80"/>
      </w:pPr>
      <w:r>
        <w:rPr>
          <w:rFonts w:ascii="宋体" w:hAnsi="宋体"/>
        </w:rPr>
        <w:t>乙方完成本合同项下全部开发工作后,应向甲方交付以下成果:</w:t>
      </w:r>
    </w:p>
    <w:tbl>
      <w:tblPr>
        <w:tblStyle w:val="TableGrid"/>
        <w:tblW w:type="auto" w:w="0"/>
        <w:jc w:val="center"/>
        <w:tblLook w:firstColumn="1" w:firstRow="1" w:lastColumn="0" w:lastRow="0" w:noHBand="0" w:noVBand="1" w:val="04A0"/>
      </w:tblPr>
      <w:tblGrid>
        <w:gridCol w:w="2882"/>
        <w:gridCol w:w="2882"/>
        <w:gridCol w:w="2882"/>
      </w:tblGrid>
      <w:tr>
        <w:tc>
          <w:tcPr>
            <w:tcW w:type="dxa" w:w="2882"/>
            <w:shd w:fill="F0F2F5"/>
          </w:tcPr>
          <w:p>
            <w:r/>
            <w:r>
              <w:rPr>
                <w:rFonts w:ascii="黑体" w:hAnsi="黑体"/>
                <w:b/>
                <w:sz w:val="18"/>
              </w:rPr>
              <w:t>序号</w:t>
            </w:r>
          </w:p>
        </w:tc>
        <w:tc>
          <w:tcPr>
            <w:tcW w:type="dxa" w:w="2882"/>
            <w:shd w:fill="F0F2F5"/>
          </w:tcPr>
          <w:p>
            <w:r/>
            <w:r>
              <w:rPr>
                <w:rFonts w:ascii="黑体" w:hAnsi="黑体"/>
                <w:b/>
                <w:sz w:val="18"/>
              </w:rPr>
              <w:t>交付物</w:t>
            </w:r>
          </w:p>
        </w:tc>
        <w:tc>
          <w:tcPr>
            <w:tcW w:type="dxa" w:w="2882"/>
            <w:shd w:fill="F0F2F5"/>
          </w:tcPr>
          <w:p>
            <w:r/>
            <w:r>
              <w:rPr>
                <w:rFonts w:ascii="黑体" w:hAnsi="黑体"/>
                <w:b/>
                <w:sz w:val="18"/>
              </w:rPr>
              <w:t>说明</w:t>
            </w:r>
          </w:p>
        </w:tc>
      </w:tr>
      <w:tr>
        <w:tc>
          <w:tcPr>
            <w:tcW w:type="dxa" w:w="2882"/>
          </w:tcPr>
          <w:p>
            <w:r/>
            <w:r>
              <w:rPr>
                <w:rFonts w:ascii="宋体" w:hAnsi="宋体"/>
                <w:sz w:val="18"/>
              </w:rPr>
              <w:t>:----:</w:t>
            </w:r>
          </w:p>
        </w:tc>
        <w:tc>
          <w:tcPr>
            <w:tcW w:type="dxa" w:w="2882"/>
          </w:tcPr>
          <w:p>
            <w:r/>
            <w:r>
              <w:rPr>
                <w:rFonts w:ascii="宋体" w:hAnsi="宋体"/>
                <w:sz w:val="18"/>
              </w:rPr>
              <w:t>--------</w:t>
            </w:r>
          </w:p>
        </w:tc>
        <w:tc>
          <w:tcPr>
            <w:tcW w:type="dxa" w:w="2882"/>
          </w:tcPr>
          <w:p>
            <w:r/>
            <w:r>
              <w:rPr>
                <w:rFonts w:ascii="宋体" w:hAnsi="宋体"/>
                <w:sz w:val="18"/>
              </w:rPr>
              <w:t>------</w:t>
            </w:r>
          </w:p>
        </w:tc>
      </w:tr>
      <w:tr>
        <w:tc>
          <w:tcPr>
            <w:tcW w:type="dxa" w:w="2882"/>
          </w:tcPr>
          <w:p>
            <w:r/>
            <w:r>
              <w:rPr>
                <w:rFonts w:ascii="宋体" w:hAnsi="宋体"/>
                <w:sz w:val="18"/>
              </w:rPr>
              <w:t>1</w:t>
            </w:r>
          </w:p>
        </w:tc>
        <w:tc>
          <w:tcPr>
            <w:tcW w:type="dxa" w:w="2882"/>
          </w:tcPr>
          <w:p>
            <w:r/>
            <w:r>
              <w:rPr>
                <w:rFonts w:ascii="宋体" w:hAnsi="宋体"/>
                <w:sz w:val="18"/>
              </w:rPr>
              <w:t>可运行的线上系统</w:t>
            </w:r>
          </w:p>
        </w:tc>
        <w:tc>
          <w:tcPr>
            <w:tcW w:type="dxa" w:w="2882"/>
          </w:tcPr>
          <w:p>
            <w:r/>
            <w:r>
              <w:rPr>
                <w:rFonts w:ascii="宋体" w:hAnsi="宋体"/>
                <w:sz w:val="18"/>
              </w:rPr>
              <w:t>通过浏览器访问的生产环境系统</w:t>
            </w:r>
          </w:p>
        </w:tc>
      </w:tr>
      <w:tr>
        <w:tc>
          <w:tcPr>
            <w:tcW w:type="dxa" w:w="2882"/>
          </w:tcPr>
          <w:p>
            <w:r/>
            <w:r>
              <w:rPr>
                <w:rFonts w:ascii="宋体" w:hAnsi="宋体"/>
                <w:sz w:val="18"/>
              </w:rPr>
              <w:t>2</w:t>
            </w:r>
          </w:p>
        </w:tc>
        <w:tc>
          <w:tcPr>
            <w:tcW w:type="dxa" w:w="2882"/>
          </w:tcPr>
          <w:p>
            <w:r/>
            <w:r>
              <w:rPr>
                <w:rFonts w:ascii="宋体" w:hAnsi="宋体"/>
                <w:sz w:val="18"/>
              </w:rPr>
              <w:t>操作手册(图文版)</w:t>
            </w:r>
          </w:p>
        </w:tc>
        <w:tc>
          <w:tcPr>
            <w:tcW w:type="dxa" w:w="2882"/>
          </w:tcPr>
          <w:p>
            <w:r/>
            <w:r>
              <w:rPr>
                <w:rFonts w:ascii="宋体" w:hAnsi="宋体"/>
                <w:sz w:val="18"/>
              </w:rPr>
              <w:t>含每个功能的操作步骤截图</w:t>
            </w:r>
          </w:p>
        </w:tc>
      </w:tr>
      <w:tr>
        <w:tc>
          <w:tcPr>
            <w:tcW w:type="dxa" w:w="2882"/>
          </w:tcPr>
          <w:p>
            <w:r/>
            <w:r>
              <w:rPr>
                <w:rFonts w:ascii="宋体" w:hAnsi="宋体"/>
                <w:sz w:val="18"/>
              </w:rPr>
              <w:t>3</w:t>
            </w:r>
          </w:p>
        </w:tc>
        <w:tc>
          <w:tcPr>
            <w:tcW w:type="dxa" w:w="2882"/>
          </w:tcPr>
          <w:p>
            <w:r/>
            <w:r>
              <w:rPr>
                <w:rFonts w:ascii="宋体" w:hAnsi="宋体"/>
                <w:sz w:val="18"/>
              </w:rPr>
              <w:t>管理员手册</w:t>
            </w:r>
          </w:p>
        </w:tc>
        <w:tc>
          <w:tcPr>
            <w:tcW w:type="dxa" w:w="2882"/>
          </w:tcPr>
          <w:p>
            <w:r/>
            <w:r>
              <w:rPr>
                <w:rFonts w:ascii="宋体" w:hAnsi="宋体"/>
                <w:sz w:val="18"/>
              </w:rPr>
              <w:t>账号管理、权限配置指南</w:t>
            </w:r>
          </w:p>
        </w:tc>
      </w:tr>
      <w:tr>
        <w:tc>
          <w:tcPr>
            <w:tcW w:type="dxa" w:w="2882"/>
          </w:tcPr>
          <w:p>
            <w:r/>
            <w:r>
              <w:rPr>
                <w:rFonts w:ascii="宋体" w:hAnsi="宋体"/>
                <w:sz w:val="18"/>
              </w:rPr>
              <w:t>4</w:t>
            </w:r>
          </w:p>
        </w:tc>
        <w:tc>
          <w:tcPr>
            <w:tcW w:type="dxa" w:w="2882"/>
          </w:tcPr>
          <w:p>
            <w:r/>
            <w:r>
              <w:rPr>
                <w:rFonts w:ascii="宋体" w:hAnsi="宋体"/>
                <w:sz w:val="18"/>
              </w:rPr>
              <w:t>质保书/送货单模板</w:t>
            </w:r>
          </w:p>
        </w:tc>
        <w:tc>
          <w:tcPr>
            <w:tcW w:type="dxa" w:w="2882"/>
          </w:tcPr>
          <w:p>
            <w:r/>
            <w:r>
              <w:rPr>
                <w:rFonts w:ascii="宋体" w:hAnsi="宋体"/>
                <w:sz w:val="18"/>
              </w:rPr>
              <w:t>PDF 格式的设计文件</w:t>
            </w:r>
          </w:p>
        </w:tc>
      </w:tr>
    </w:tbl>
    <w:p/>
    <w:p>
      <w:pPr>
        <w:pStyle w:val="Heading3"/>
      </w:pPr>
      <w:r>
        <w:rPr>
          <w:rFonts w:ascii="黑体" w:hAnsi="黑体"/>
        </w:rPr>
        <w:t>第六条 验收</w:t>
      </w:r>
    </w:p>
    <w:p>
      <w:pPr>
        <w:pStyle w:val="Heading4"/>
      </w:pPr>
      <w:r>
        <w:rPr>
          <w:rFonts w:ascii="黑体" w:hAnsi="黑体"/>
        </w:rPr>
        <w:t>6.1 验收依据</w:t>
      </w:r>
    </w:p>
    <w:p>
      <w:pPr>
        <w:spacing w:after="80"/>
      </w:pPr>
      <w:r>
        <w:rPr>
          <w:rFonts w:ascii="宋体" w:hAnsi="宋体"/>
        </w:rPr>
        <w:t>系统验收以《需求方案》中约定的验收标准为依据。验收不通过的,乙方应在合理期限内修复后重新提交验收,直至通过为止。</w:t>
      </w:r>
    </w:p>
    <w:p>
      <w:pPr>
        <w:pStyle w:val="Heading4"/>
      </w:pPr>
      <w:r>
        <w:rPr>
          <w:rFonts w:ascii="黑体" w:hAnsi="黑体"/>
        </w:rPr>
        <w:t>6.2 验收流程</w:t>
      </w:r>
    </w:p>
    <w:p>
      <w:pPr>
        <w:spacing w:after="80"/>
      </w:pPr>
      <w:r>
        <w:rPr>
          <w:rFonts w:ascii="宋体" w:hAnsi="宋体"/>
        </w:rPr>
        <w:t>6.2.1 乙方完成开发工作后,应书面向甲方提交验收申请。</w:t>
      </w:r>
    </w:p>
    <w:p>
      <w:pPr>
        <w:spacing w:after="80"/>
      </w:pPr>
      <w:r>
        <w:rPr>
          <w:rFonts w:ascii="宋体" w:hAnsi="宋体"/>
        </w:rPr>
        <w:t xml:space="preserve">6.2.2 甲方应在收到验收申请之日起 </w:t>
      </w:r>
      <w:r>
        <w:rPr>
          <w:rFonts w:ascii="黑体" w:hAnsi="黑体"/>
          <w:b/>
        </w:rPr>
        <w:t>10 个工作日</w:t>
      </w:r>
      <w:r>
        <w:rPr>
          <w:rFonts w:ascii="宋体" w:hAnsi="宋体"/>
        </w:rPr>
        <w:t xml:space="preserve"> 内完成测试验收。</w:t>
      </w:r>
    </w:p>
    <w:p>
      <w:pPr>
        <w:spacing w:after="80"/>
      </w:pPr>
      <w:r>
        <w:rPr>
          <w:rFonts w:ascii="宋体" w:hAnsi="宋体"/>
        </w:rPr>
        <w:t>6.2.3 甲方在验收测试中发现问题,应一次性或分批次集中以书面形式(含邮件)向乙方提供问题清单。乙方应在收到问题清单之日起 7 个工作日内完成修复,并重新提交验收。</w:t>
      </w:r>
    </w:p>
    <w:p>
      <w:pPr>
        <w:spacing w:after="80"/>
      </w:pPr>
      <w:r>
        <w:rPr>
          <w:rFonts w:ascii="宋体" w:hAnsi="宋体"/>
        </w:rPr>
        <w:t xml:space="preserve">6.2.4 甲方在收到乙方修复后的版本后,应在 </w:t>
      </w:r>
      <w:r>
        <w:rPr>
          <w:rFonts w:ascii="黑体" w:hAnsi="黑体"/>
          <w:b/>
        </w:rPr>
        <w:t>5 个工作日</w:t>
      </w:r>
      <w:r>
        <w:rPr>
          <w:rFonts w:ascii="宋体" w:hAnsi="宋体"/>
        </w:rPr>
        <w:t xml:space="preserve"> 内完成复测。若甲方超过 5 个工作日未提出书面异议的,视为该轮复测通过。</w:t>
      </w:r>
    </w:p>
    <w:p>
      <w:pPr>
        <w:spacing w:after="80"/>
      </w:pPr>
      <w:r>
        <w:rPr>
          <w:rFonts w:ascii="宋体" w:hAnsi="宋体"/>
        </w:rPr>
        <w:t>6.2.5 验收合格的,双方签署《项目验收报告》。</w:t>
      </w:r>
    </w:p>
    <w:p>
      <w:pPr>
        <w:pStyle w:val="Heading4"/>
      </w:pPr>
      <w:r>
        <w:rPr>
          <w:rFonts w:ascii="黑体" w:hAnsi="黑体"/>
        </w:rPr>
        <w:t>6.3 视为验收</w:t>
      </w:r>
    </w:p>
    <w:p>
      <w:pPr>
        <w:spacing w:after="80"/>
      </w:pPr>
      <w:r>
        <w:rPr>
          <w:rFonts w:ascii="宋体" w:hAnsi="宋体"/>
        </w:rPr>
        <w:t>甲方在以下任一情形下,视为验收通过:</w:t>
      </w:r>
    </w:p>
    <w:p>
      <w:pPr>
        <w:pStyle w:val="ListBullet"/>
        <w:spacing w:after="40"/>
      </w:pPr>
      <w:r>
        <w:t>甲方在收到验收申请后 10 个工作日内未提出书面异议;</w:t>
      </w:r>
    </w:p>
    <w:p>
      <w:pPr>
        <w:pStyle w:val="ListBullet"/>
        <w:spacing w:after="40"/>
      </w:pPr>
      <w:r>
        <w:t>甲方将系统用于实际业务生产操作。</w:t>
      </w:r>
    </w:p>
    <w:p>
      <w:pPr>
        <w:pStyle w:val="Heading4"/>
      </w:pPr>
      <w:r>
        <w:rPr>
          <w:rFonts w:ascii="黑体" w:hAnsi="黑体"/>
        </w:rPr>
        <w:t>6.4 整体验收</w:t>
      </w:r>
    </w:p>
    <w:p>
      <w:pPr>
        <w:spacing w:after="80"/>
      </w:pPr>
      <w:r>
        <w:rPr>
          <w:rFonts w:ascii="宋体" w:hAnsi="宋体"/>
        </w:rPr>
        <w:t>系统全部功能验收通过后,双方签署《项目验收报告》,确认系统整体验收合格。</w:t>
      </w:r>
    </w:p>
    <w:p>
      <w:pPr>
        <w:pStyle w:val="Heading3"/>
      </w:pPr>
      <w:r>
        <w:rPr>
          <w:rFonts w:ascii="黑体" w:hAnsi="黑体"/>
        </w:rPr>
        <w:t>第七条 知识产权</w:t>
      </w:r>
    </w:p>
    <w:p>
      <w:pPr>
        <w:pStyle w:val="Heading4"/>
      </w:pPr>
      <w:r>
        <w:rPr>
          <w:rFonts w:ascii="黑体" w:hAnsi="黑体"/>
        </w:rPr>
        <w:t>7.1 定制系统的所有权</w:t>
      </w:r>
    </w:p>
    <w:p>
      <w:pPr>
        <w:spacing w:after="80"/>
      </w:pPr>
      <w:r>
        <w:rPr>
          <w:rFonts w:ascii="宋体" w:hAnsi="宋体"/>
        </w:rPr>
        <w:t>7.1.1 乙方为本合同项下甲方定制开发的进销存管理系统(含已交付的源代码、目标代码、技术文档),其知识产权(包括但不限于著作权)归</w:t>
      </w:r>
      <w:r>
        <w:rPr>
          <w:rFonts w:ascii="黑体" w:hAnsi="黑体"/>
          <w:b/>
        </w:rPr>
        <w:t>甲乙双方共同所有</w:t>
      </w:r>
      <w:r>
        <w:rPr>
          <w:rFonts w:ascii="宋体" w:hAnsi="宋体"/>
        </w:rPr>
        <w:t>,双方均为该系统的共同著作权人。</w:t>
      </w:r>
    </w:p>
    <w:p>
      <w:pPr>
        <w:spacing w:after="80"/>
      </w:pPr>
      <w:r>
        <w:rPr>
          <w:rFonts w:ascii="宋体" w:hAnsi="宋体"/>
        </w:rPr>
        <w:t>7.1.2 乙方应在全部验收通过后,向甲方交付系统的完整源代码(含部署环境和依赖说明),甲方获得该源代码的永久持有和使用权利。</w:t>
      </w:r>
    </w:p>
    <w:p>
      <w:pPr>
        <w:pStyle w:val="Heading4"/>
      </w:pPr>
      <w:r>
        <w:rPr>
          <w:rFonts w:ascii="黑体" w:hAnsi="黑体"/>
        </w:rPr>
        <w:t>7.2 甲乙双方的权利行使</w:t>
      </w:r>
    </w:p>
    <w:p>
      <w:pPr>
        <w:spacing w:after="80"/>
      </w:pPr>
      <w:r>
        <w:rPr>
          <w:rFonts w:ascii="宋体" w:hAnsi="宋体"/>
        </w:rPr>
        <w:t xml:space="preserve">7.2.1 </w:t>
      </w:r>
      <w:r>
        <w:rPr>
          <w:rFonts w:ascii="黑体" w:hAnsi="黑体"/>
          <w:b/>
        </w:rPr>
        <w:t>甲方的权利</w:t>
      </w:r>
      <w:r>
        <w:rPr>
          <w:rFonts w:ascii="宋体" w:hAnsi="宋体"/>
        </w:rPr>
        <w:t>:甲方有权在其自身及关联公司的日常业务管理中使用本系统,包括对系统进行必要的修改、维护和升级。未经乙方书面同意,甲方不得将系统(含源代码)向第三方转让、许可或出售。</w:t>
      </w:r>
    </w:p>
    <w:p>
      <w:pPr>
        <w:spacing w:after="80"/>
      </w:pPr>
      <w:r>
        <w:rPr>
          <w:rFonts w:ascii="宋体" w:hAnsi="宋体"/>
        </w:rPr>
        <w:t xml:space="preserve">7.2.2 </w:t>
      </w:r>
      <w:r>
        <w:rPr>
          <w:rFonts w:ascii="黑体" w:hAnsi="黑体"/>
          <w:b/>
        </w:rPr>
        <w:t>乙方的权利</w:t>
      </w:r>
      <w:r>
        <w:rPr>
          <w:rFonts w:ascii="宋体" w:hAnsi="宋体"/>
        </w:rPr>
        <w:t>:乙方保留对本系统的通用架构、核心模块及行业解决方案进行二次开发、产品化包装和向第三方推广销售的权利。乙方在使用甲方定制化部分(如特定业务规则、界面设计)时,应进行合理脱敏处理,不得直接复制甲方的业务数据、客户信息和定制化界面。</w:t>
      </w:r>
    </w:p>
    <w:p>
      <w:pPr>
        <w:pStyle w:val="Heading4"/>
      </w:pPr>
      <w:r>
        <w:rPr>
          <w:rFonts w:ascii="黑体" w:hAnsi="黑体"/>
        </w:rPr>
        <w:t>7.3 商业化的利益分配</w:t>
      </w:r>
    </w:p>
    <w:p>
      <w:pPr>
        <w:spacing w:after="80"/>
      </w:pPr>
      <w:r>
        <w:rPr>
          <w:rFonts w:ascii="宋体" w:hAnsi="宋体"/>
        </w:rPr>
        <w:t>7.3.1 如乙方基于本系统开发标准化产品并向第三方推广销售,甲乙双方应另行签署利润分成协议,明确合作方式与利益分配比例。该协议不在本合同范围内。</w:t>
      </w:r>
    </w:p>
    <w:p>
      <w:pPr>
        <w:spacing w:after="80"/>
      </w:pPr>
      <w:r>
        <w:rPr>
          <w:rFonts w:ascii="宋体" w:hAnsi="宋体"/>
        </w:rPr>
        <w:t>7.3.2 本合同项下甲方承担的开发费用为定制系统开发费用,不构成对未来任何商业化项目的投资或占股。</w:t>
      </w:r>
    </w:p>
    <w:p>
      <w:pPr>
        <w:pStyle w:val="Heading4"/>
      </w:pPr>
      <w:r>
        <w:rPr>
          <w:rFonts w:ascii="黑体" w:hAnsi="黑体"/>
        </w:rPr>
        <w:t>7.4 业务数据</w:t>
      </w:r>
    </w:p>
    <w:p>
      <w:pPr>
        <w:spacing w:after="80"/>
      </w:pPr>
      <w:r>
        <w:rPr>
          <w:rFonts w:ascii="宋体" w:hAnsi="宋体"/>
        </w:rPr>
        <w:t>7.4.1 甲方在使用系统过程中产生的业务数据(包括但不限于客户信息、订单数据、库存数据、供应商信息等)的知识产权归甲方所有。</w:t>
      </w:r>
    </w:p>
    <w:p>
      <w:pPr>
        <w:spacing w:after="80"/>
      </w:pPr>
      <w:r>
        <w:rPr>
          <w:rFonts w:ascii="宋体" w:hAnsi="宋体"/>
        </w:rPr>
        <w:t>7.4.2 甲方有权随时导出全部业务数据,乙方不得以任何理由阻止或设置障碍。</w:t>
      </w:r>
    </w:p>
    <w:p>
      <w:pPr>
        <w:spacing w:after="80"/>
      </w:pPr>
      <w:r>
        <w:rPr>
          <w:rFonts w:ascii="宋体" w:hAnsi="宋体"/>
        </w:rPr>
        <w:t>7.4.3 未经甲方书面许可,乙方不得将甲方的业务数据用于任何本合同约定以外的目的。</w:t>
      </w:r>
    </w:p>
    <w:p>
      <w:pPr>
        <w:pStyle w:val="Heading4"/>
      </w:pPr>
      <w:r>
        <w:rPr>
          <w:rFonts w:ascii="黑体" w:hAnsi="黑体"/>
        </w:rPr>
        <w:t>7.5 保密与尊重</w:t>
      </w:r>
    </w:p>
    <w:p>
      <w:pPr>
        <w:spacing w:after="80"/>
      </w:pPr>
      <w:r>
        <w:rPr>
          <w:rFonts w:ascii="宋体" w:hAnsi="宋体"/>
        </w:rPr>
        <w:t>7.5.1 未经甲方书面许可,乙方不得对系统进行反向工程、反编译、反汇编(法律法规要求的除外)。</w:t>
      </w:r>
    </w:p>
    <w:p>
      <w:pPr>
        <w:spacing w:after="80"/>
      </w:pPr>
      <w:r>
        <w:rPr>
          <w:rFonts w:ascii="宋体" w:hAnsi="宋体"/>
        </w:rPr>
        <w:t>7.5.2 双方同意,本系统相关源代码在本合同约定范围内可合理使用,但任何一方不得将共同所有的源代码用于损害另一方商业利益的行为。</w:t>
      </w:r>
    </w:p>
    <w:p>
      <w:pPr>
        <w:pStyle w:val="Heading3"/>
      </w:pPr>
      <w:r>
        <w:rPr>
          <w:rFonts w:ascii="黑体" w:hAnsi="黑体"/>
        </w:rPr>
        <w:t>第八条 维保服务</w:t>
      </w:r>
    </w:p>
    <w:p>
      <w:pPr>
        <w:pStyle w:val="Heading4"/>
      </w:pPr>
      <w:r>
        <w:rPr>
          <w:rFonts w:ascii="黑体" w:hAnsi="黑体"/>
        </w:rPr>
        <w:t>8.1 免费维保期</w:t>
      </w:r>
    </w:p>
    <w:p>
      <w:pPr>
        <w:spacing w:after="80"/>
      </w:pPr>
      <w:r>
        <w:rPr>
          <w:rFonts w:ascii="宋体" w:hAnsi="宋体"/>
        </w:rPr>
        <w:t xml:space="preserve">系统整体验收通过后,乙方提供 </w:t>
      </w:r>
      <w:r>
        <w:rPr>
          <w:rFonts w:ascii="黑体" w:hAnsi="黑体"/>
          <w:b/>
        </w:rPr>
        <w:t>12 个月</w:t>
      </w:r>
      <w:r>
        <w:rPr>
          <w:rFonts w:ascii="宋体" w:hAnsi="宋体"/>
        </w:rPr>
        <w:t xml:space="preserve"> 免费维保服务。</w:t>
      </w:r>
    </w:p>
    <w:p>
      <w:pPr>
        <w:spacing w:after="80"/>
      </w:pPr>
      <w:r>
        <w:rPr>
          <w:rFonts w:ascii="宋体" w:hAnsi="宋体"/>
        </w:rPr>
        <w:t>维保期自双方签署《项目验收报告》之日起计算。AI 订单识别模块(已交付)自本合同签订之日起即纳入维保范围,不因最终验收的起算时间而产生维保空窗期。</w:t>
      </w:r>
    </w:p>
    <w:p>
      <w:pPr>
        <w:pStyle w:val="Heading4"/>
      </w:pPr>
      <w:r>
        <w:rPr>
          <w:rFonts w:ascii="黑体" w:hAnsi="黑体"/>
        </w:rPr>
        <w:t>8.2 维保服务内容</w:t>
      </w:r>
    </w:p>
    <w:p>
      <w:pPr>
        <w:spacing w:after="80"/>
      </w:pPr>
      <w:r>
        <w:rPr>
          <w:rFonts w:ascii="宋体" w:hAnsi="宋体"/>
        </w:rPr>
        <w:t>免费维保期内,乙方提供以下服务:</w:t>
      </w:r>
    </w:p>
    <w:tbl>
      <w:tblPr>
        <w:tblStyle w:val="TableGrid"/>
        <w:tblW w:type="auto" w:w="0"/>
        <w:jc w:val="center"/>
        <w:tblLook w:firstColumn="1" w:firstRow="1" w:lastColumn="0" w:lastRow="0" w:noHBand="0" w:noVBand="1" w:val="04A0"/>
      </w:tblPr>
      <w:tblGrid>
        <w:gridCol w:w="2882"/>
        <w:gridCol w:w="2882"/>
        <w:gridCol w:w="2882"/>
      </w:tblGrid>
      <w:tr>
        <w:tc>
          <w:tcPr>
            <w:tcW w:type="dxa" w:w="2882"/>
            <w:shd w:fill="F0F2F5"/>
          </w:tcPr>
          <w:p>
            <w:r/>
            <w:r>
              <w:rPr>
                <w:rFonts w:ascii="黑体" w:hAnsi="黑体"/>
                <w:b/>
                <w:sz w:val="18"/>
              </w:rPr>
              <w:t>服务项目</w:t>
            </w:r>
          </w:p>
        </w:tc>
        <w:tc>
          <w:tcPr>
            <w:tcW w:type="dxa" w:w="2882"/>
            <w:shd w:fill="F0F2F5"/>
          </w:tcPr>
          <w:p>
            <w:r/>
            <w:r>
              <w:rPr>
                <w:rFonts w:ascii="黑体" w:hAnsi="黑体"/>
                <w:b/>
                <w:sz w:val="18"/>
              </w:rPr>
              <w:t>内容</w:t>
            </w:r>
          </w:p>
        </w:tc>
        <w:tc>
          <w:tcPr>
            <w:tcW w:type="dxa" w:w="2882"/>
            <w:shd w:fill="F0F2F5"/>
          </w:tcPr>
          <w:p>
            <w:r/>
            <w:r>
              <w:rPr>
                <w:rFonts w:ascii="黑体" w:hAnsi="黑体"/>
                <w:b/>
                <w:sz w:val="18"/>
              </w:rPr>
              <w:t>响应时效</w:t>
            </w:r>
          </w:p>
        </w:tc>
      </w:tr>
      <w:tr>
        <w:tc>
          <w:tcPr>
            <w:tcW w:type="dxa" w:w="2882"/>
          </w:tcPr>
          <w:p>
            <w:r/>
            <w:r>
              <w:rPr>
                <w:rFonts w:ascii="宋体" w:hAnsi="宋体"/>
                <w:sz w:val="18"/>
              </w:rPr>
              <w:t>---------</w:t>
            </w:r>
          </w:p>
        </w:tc>
        <w:tc>
          <w:tcPr>
            <w:tcW w:type="dxa" w:w="2882"/>
          </w:tcPr>
          <w:p>
            <w:r/>
            <w:r>
              <w:rPr>
                <w:rFonts w:ascii="宋体" w:hAnsi="宋体"/>
                <w:sz w:val="18"/>
              </w:rPr>
              <w:t>------</w:t>
            </w:r>
          </w:p>
        </w:tc>
        <w:tc>
          <w:tcPr>
            <w:tcW w:type="dxa" w:w="2882"/>
          </w:tcPr>
          <w:p>
            <w:r/>
            <w:r>
              <w:rPr>
                <w:rFonts w:ascii="宋体" w:hAnsi="宋体"/>
                <w:sz w:val="18"/>
              </w:rPr>
              <w:t>:-------:</w:t>
            </w:r>
          </w:p>
        </w:tc>
      </w:tr>
      <w:tr>
        <w:tc>
          <w:tcPr>
            <w:tcW w:type="dxa" w:w="2882"/>
          </w:tcPr>
          <w:p>
            <w:r/>
            <w:r>
              <w:rPr>
                <w:rFonts w:ascii="宋体" w:hAnsi="宋体"/>
                <w:sz w:val="18"/>
              </w:rPr>
              <w:t>Bug 修复</w:t>
            </w:r>
          </w:p>
        </w:tc>
        <w:tc>
          <w:tcPr>
            <w:tcW w:type="dxa" w:w="2882"/>
          </w:tcPr>
          <w:p>
            <w:r/>
            <w:r>
              <w:rPr>
                <w:rFonts w:ascii="宋体" w:hAnsi="宋体"/>
                <w:sz w:val="18"/>
              </w:rPr>
              <w:t>系统使用中发现的任何程序错误</w:t>
            </w:r>
          </w:p>
        </w:tc>
        <w:tc>
          <w:tcPr>
            <w:tcW w:type="dxa" w:w="2882"/>
          </w:tcPr>
          <w:p>
            <w:r/>
            <w:r>
              <w:rPr>
                <w:rFonts w:ascii="宋体" w:hAnsi="宋体"/>
                <w:sz w:val="18"/>
              </w:rPr>
              <w:t>一般问题:1 个工作日;紧急问题:2 小时内响应</w:t>
            </w:r>
          </w:p>
        </w:tc>
      </w:tr>
      <w:tr>
        <w:tc>
          <w:tcPr>
            <w:tcW w:type="dxa" w:w="2882"/>
          </w:tcPr>
          <w:p>
            <w:r/>
            <w:r>
              <w:rPr>
                <w:rFonts w:ascii="宋体" w:hAnsi="宋体"/>
                <w:sz w:val="18"/>
              </w:rPr>
              <w:t>功能微调</w:t>
            </w:r>
          </w:p>
        </w:tc>
        <w:tc>
          <w:tcPr>
            <w:tcW w:type="dxa" w:w="2882"/>
          </w:tcPr>
          <w:p>
            <w:r/>
            <w:r>
              <w:rPr>
                <w:rFonts w:ascii="宋体" w:hAnsi="宋体"/>
                <w:sz w:val="18"/>
              </w:rPr>
              <w:t>基于已交付功能的小范围调整(单次工作量 2 小时以内免费)</w:t>
            </w:r>
          </w:p>
        </w:tc>
        <w:tc>
          <w:tcPr>
            <w:tcW w:type="dxa" w:w="2882"/>
          </w:tcPr>
          <w:p>
            <w:r/>
            <w:r>
              <w:rPr>
                <w:rFonts w:ascii="宋体" w:hAnsi="宋体"/>
                <w:sz w:val="18"/>
              </w:rPr>
              <w:t>双方协商排期</w:t>
            </w:r>
          </w:p>
        </w:tc>
      </w:tr>
      <w:tr>
        <w:tc>
          <w:tcPr>
            <w:tcW w:type="dxa" w:w="2882"/>
          </w:tcPr>
          <w:p>
            <w:r/>
            <w:r>
              <w:rPr>
                <w:rFonts w:ascii="宋体" w:hAnsi="宋体"/>
                <w:sz w:val="18"/>
              </w:rPr>
              <w:t>服务器运维</w:t>
            </w:r>
          </w:p>
        </w:tc>
        <w:tc>
          <w:tcPr>
            <w:tcW w:type="dxa" w:w="2882"/>
          </w:tcPr>
          <w:p>
            <w:r/>
            <w:r>
              <w:rPr>
                <w:rFonts w:ascii="宋体" w:hAnsi="宋体"/>
                <w:sz w:val="18"/>
              </w:rPr>
              <w:t>系统运行环境维护、安全补丁更新、数据库维护</w:t>
            </w:r>
          </w:p>
        </w:tc>
        <w:tc>
          <w:tcPr>
            <w:tcW w:type="dxa" w:w="2882"/>
          </w:tcPr>
          <w:p>
            <w:r/>
            <w:r>
              <w:rPr>
                <w:rFonts w:ascii="宋体" w:hAnsi="宋体"/>
                <w:sz w:val="18"/>
              </w:rPr>
              <w:t>持续执行</w:t>
            </w:r>
          </w:p>
        </w:tc>
      </w:tr>
      <w:tr>
        <w:tc>
          <w:tcPr>
            <w:tcW w:type="dxa" w:w="2882"/>
          </w:tcPr>
          <w:p>
            <w:r/>
            <w:r>
              <w:rPr>
                <w:rFonts w:ascii="宋体" w:hAnsi="宋体"/>
                <w:sz w:val="18"/>
              </w:rPr>
              <w:t>数据备份</w:t>
            </w:r>
          </w:p>
        </w:tc>
        <w:tc>
          <w:tcPr>
            <w:tcW w:type="dxa" w:w="2882"/>
          </w:tcPr>
          <w:p>
            <w:r/>
            <w:r>
              <w:rPr>
                <w:rFonts w:ascii="宋体" w:hAnsi="宋体"/>
                <w:sz w:val="18"/>
              </w:rPr>
              <w:t>每日自动备份,保留最近 30 天</w:t>
            </w:r>
          </w:p>
        </w:tc>
        <w:tc>
          <w:tcPr>
            <w:tcW w:type="dxa" w:w="2882"/>
          </w:tcPr>
          <w:p>
            <w:r/>
            <w:r>
              <w:rPr>
                <w:rFonts w:ascii="宋体" w:hAnsi="宋体"/>
                <w:sz w:val="18"/>
              </w:rPr>
              <w:t>持续执行</w:t>
            </w:r>
          </w:p>
        </w:tc>
      </w:tr>
      <w:tr>
        <w:tc>
          <w:tcPr>
            <w:tcW w:type="dxa" w:w="2882"/>
          </w:tcPr>
          <w:p>
            <w:r/>
            <w:r>
              <w:rPr>
                <w:rFonts w:ascii="宋体" w:hAnsi="宋体"/>
                <w:sz w:val="18"/>
              </w:rPr>
              <w:t>操作咨询</w:t>
            </w:r>
          </w:p>
        </w:tc>
        <w:tc>
          <w:tcPr>
            <w:tcW w:type="dxa" w:w="2882"/>
          </w:tcPr>
          <w:p>
            <w:r/>
            <w:r>
              <w:rPr>
                <w:rFonts w:ascii="宋体" w:hAnsi="宋体"/>
                <w:sz w:val="18"/>
              </w:rPr>
              <w:t>使用过程中的问题解答和远程指导</w:t>
            </w:r>
          </w:p>
        </w:tc>
        <w:tc>
          <w:tcPr>
            <w:tcW w:type="dxa" w:w="2882"/>
          </w:tcPr>
          <w:p>
            <w:r/>
            <w:r>
              <w:rPr>
                <w:rFonts w:ascii="宋体" w:hAnsi="宋体"/>
                <w:sz w:val="18"/>
              </w:rPr>
              <w:t>工作时间即时回复</w:t>
            </w:r>
          </w:p>
        </w:tc>
      </w:tr>
      <w:tr>
        <w:tc>
          <w:tcPr>
            <w:tcW w:type="dxa" w:w="2882"/>
          </w:tcPr>
          <w:p>
            <w:r/>
            <w:r>
              <w:rPr>
                <w:rFonts w:ascii="宋体" w:hAnsi="宋体"/>
                <w:sz w:val="18"/>
              </w:rPr>
              <w:t>故障恢复</w:t>
            </w:r>
          </w:p>
        </w:tc>
        <w:tc>
          <w:tcPr>
            <w:tcW w:type="dxa" w:w="2882"/>
          </w:tcPr>
          <w:p>
            <w:r/>
            <w:r>
              <w:rPr>
                <w:rFonts w:ascii="宋体" w:hAnsi="宋体"/>
                <w:sz w:val="18"/>
              </w:rPr>
              <w:t>服务器或系统故障导致的数据恢复</w:t>
            </w:r>
          </w:p>
        </w:tc>
        <w:tc>
          <w:tcPr>
            <w:tcW w:type="dxa" w:w="2882"/>
          </w:tcPr>
          <w:p>
            <w:r/>
            <w:r>
              <w:rPr>
                <w:rFonts w:ascii="宋体" w:hAnsi="宋体"/>
                <w:sz w:val="18"/>
              </w:rPr>
              <w:t>紧急:2 小时内</w:t>
            </w:r>
          </w:p>
        </w:tc>
      </w:tr>
      <w:tr>
        <w:tc>
          <w:tcPr>
            <w:tcW w:type="dxa" w:w="2882"/>
          </w:tcPr>
          <w:p>
            <w:r/>
            <w:r>
              <w:rPr>
                <w:rFonts w:ascii="宋体" w:hAnsi="宋体"/>
                <w:sz w:val="18"/>
              </w:rPr>
              <w:t>培训</w:t>
            </w:r>
          </w:p>
        </w:tc>
        <w:tc>
          <w:tcPr>
            <w:tcW w:type="dxa" w:w="2882"/>
          </w:tcPr>
          <w:p>
            <w:r/>
            <w:r>
              <w:rPr>
                <w:rFonts w:ascii="宋体" w:hAnsi="宋体"/>
                <w:sz w:val="18"/>
              </w:rPr>
              <w:t>新员工上岗培训(远程),累计不超过 3 次</w:t>
            </w:r>
          </w:p>
        </w:tc>
        <w:tc>
          <w:tcPr>
            <w:tcW w:type="dxa" w:w="2882"/>
          </w:tcPr>
          <w:p>
            <w:r/>
            <w:r>
              <w:rPr>
                <w:rFonts w:ascii="宋体" w:hAnsi="宋体"/>
                <w:sz w:val="18"/>
              </w:rPr>
              <w:t>提前预约</w:t>
            </w:r>
          </w:p>
        </w:tc>
      </w:tr>
      <w:tr>
        <w:tc>
          <w:tcPr>
            <w:tcW w:type="dxa" w:w="2882"/>
          </w:tcPr>
          <w:p>
            <w:r/>
            <w:r>
              <w:rPr>
                <w:rFonts w:ascii="宋体" w:hAnsi="宋体"/>
                <w:sz w:val="18"/>
              </w:rPr>
              <w:t>AI 调用费</w:t>
            </w:r>
          </w:p>
        </w:tc>
        <w:tc>
          <w:tcPr>
            <w:tcW w:type="dxa" w:w="2882"/>
          </w:tcPr>
          <w:p>
            <w:r/>
            <w:r>
              <w:rPr>
                <w:rFonts w:ascii="宋体" w:hAnsi="宋体"/>
                <w:sz w:val="18"/>
              </w:rPr>
              <w:t>AI 订单识别功能的云端 API 调用费由乙方承担</w:t>
            </w:r>
          </w:p>
        </w:tc>
        <w:tc>
          <w:tcPr>
            <w:tcW w:type="dxa" w:w="2882"/>
          </w:tcPr>
          <w:p>
            <w:r/>
            <w:r>
              <w:rPr>
                <w:rFonts w:ascii="宋体" w:hAnsi="宋体"/>
                <w:sz w:val="18"/>
              </w:rPr>
              <w:t>持续执行</w:t>
            </w:r>
          </w:p>
        </w:tc>
      </w:tr>
    </w:tbl>
    <w:p/>
    <w:p>
      <w:pPr>
        <w:pStyle w:val="Heading4"/>
      </w:pPr>
      <w:r>
        <w:rPr>
          <w:rFonts w:ascii="黑体" w:hAnsi="黑体"/>
        </w:rPr>
        <w:t>8.3 不属于维保范围的服务</w:t>
      </w:r>
    </w:p>
    <w:p>
      <w:pPr>
        <w:spacing w:after="80"/>
      </w:pPr>
      <w:r>
        <w:rPr>
          <w:rFonts w:ascii="宋体" w:hAnsi="宋体"/>
        </w:rPr>
        <w:t>以下服务不在免费维保范围内,如需乙方提供,需另行评估工作量和费用:</w:t>
      </w:r>
    </w:p>
    <w:p>
      <w:pPr>
        <w:pStyle w:val="ListBullet"/>
        <w:spacing w:after="40"/>
      </w:pPr>
      <w:r>
        <w:t>本合同《需求方案》未约定的新增功能模块或功能点开发;</w:t>
      </w:r>
    </w:p>
    <w:p>
      <w:pPr>
        <w:pStyle w:val="ListBullet"/>
        <w:spacing w:after="40"/>
      </w:pPr>
      <w:r>
        <w:t>与第三方系统(包括但不限于协宸 ERP、财务系统等)的接口开发;</w:t>
      </w:r>
    </w:p>
    <w:p>
      <w:pPr>
        <w:pStyle w:val="ListBullet"/>
        <w:spacing w:after="40"/>
      </w:pPr>
      <w:r>
        <w:t>历史数据迁移(少量可协商);</w:t>
      </w:r>
    </w:p>
    <w:p>
      <w:pPr>
        <w:pStyle w:val="ListBullet"/>
        <w:spacing w:after="40"/>
      </w:pPr>
      <w:r>
        <w:t>硬件采购与维护(扫码枪、打印机、服务器等);</w:t>
      </w:r>
    </w:p>
    <w:p>
      <w:pPr>
        <w:pStyle w:val="ListBullet"/>
        <w:spacing w:after="40"/>
      </w:pPr>
      <w:r>
        <w:t>现场服务(远程优先,特殊情况另行协商)。</w:t>
      </w:r>
    </w:p>
    <w:p>
      <w:pPr>
        <w:pStyle w:val="Heading4"/>
      </w:pPr>
      <w:r>
        <w:rPr>
          <w:rFonts w:ascii="黑体" w:hAnsi="黑体"/>
        </w:rPr>
        <w:t>8.4 维保期满后</w:t>
      </w:r>
    </w:p>
    <w:p>
      <w:pPr>
        <w:spacing w:after="80"/>
      </w:pPr>
      <w:r>
        <w:rPr>
          <w:rFonts w:ascii="宋体" w:hAnsi="宋体"/>
        </w:rPr>
        <w:t>维保期届满后,甲方如有需要,可与乙方协商续签年度维保合同。年度维保费用标准如下:</w:t>
      </w:r>
    </w:p>
    <w:tbl>
      <w:tblPr>
        <w:tblStyle w:val="TableGrid"/>
        <w:tblW w:type="auto" w:w="0"/>
        <w:jc w:val="center"/>
        <w:tblLook w:firstColumn="1" w:firstRow="1" w:lastColumn="0" w:lastRow="0" w:noHBand="0" w:noVBand="1" w:val="04A0"/>
      </w:tblPr>
      <w:tblGrid>
        <w:gridCol w:w="2882"/>
        <w:gridCol w:w="2882"/>
        <w:gridCol w:w="2882"/>
      </w:tblGrid>
      <w:tr>
        <w:tc>
          <w:tcPr>
            <w:tcW w:type="dxa" w:w="2882"/>
            <w:shd w:fill="F0F2F5"/>
          </w:tcPr>
          <w:p>
            <w:r/>
            <w:r>
              <w:rPr>
                <w:rFonts w:ascii="黑体" w:hAnsi="黑体"/>
                <w:b/>
                <w:sz w:val="18"/>
              </w:rPr>
              <w:t>服务等级</w:t>
            </w:r>
          </w:p>
        </w:tc>
        <w:tc>
          <w:tcPr>
            <w:tcW w:type="dxa" w:w="2882"/>
            <w:shd w:fill="F0F2F5"/>
          </w:tcPr>
          <w:p>
            <w:r/>
            <w:r>
              <w:rPr>
                <w:rFonts w:ascii="黑体" w:hAnsi="黑体"/>
                <w:b/>
                <w:sz w:val="18"/>
              </w:rPr>
              <w:t>内容</w:t>
            </w:r>
          </w:p>
        </w:tc>
        <w:tc>
          <w:tcPr>
            <w:tcW w:type="dxa" w:w="2882"/>
            <w:shd w:fill="F0F2F5"/>
          </w:tcPr>
          <w:p>
            <w:r/>
            <w:r>
              <w:rPr>
                <w:rFonts w:ascii="黑体" w:hAnsi="黑体"/>
                <w:b/>
                <w:sz w:val="18"/>
              </w:rPr>
              <w:t>年费参考</w:t>
            </w:r>
          </w:p>
        </w:tc>
      </w:tr>
      <w:tr>
        <w:tc>
          <w:tcPr>
            <w:tcW w:type="dxa" w:w="2882"/>
          </w:tcPr>
          <w:p>
            <w:r/>
            <w:r>
              <w:rPr>
                <w:rFonts w:ascii="宋体" w:hAnsi="宋体"/>
                <w:sz w:val="18"/>
              </w:rPr>
              <w:t>:--------</w:t>
            </w:r>
          </w:p>
        </w:tc>
        <w:tc>
          <w:tcPr>
            <w:tcW w:type="dxa" w:w="2882"/>
          </w:tcPr>
          <w:p>
            <w:r/>
            <w:r>
              <w:rPr>
                <w:rFonts w:ascii="宋体" w:hAnsi="宋体"/>
                <w:sz w:val="18"/>
              </w:rPr>
              <w:t>------</w:t>
            </w:r>
          </w:p>
        </w:tc>
        <w:tc>
          <w:tcPr>
            <w:tcW w:type="dxa" w:w="2882"/>
          </w:tcPr>
          <w:p>
            <w:r/>
            <w:r>
              <w:rPr>
                <w:rFonts w:ascii="宋体" w:hAnsi="宋体"/>
                <w:sz w:val="18"/>
              </w:rPr>
              <w:t>:-------:</w:t>
            </w:r>
          </w:p>
        </w:tc>
      </w:tr>
      <w:tr>
        <w:tc>
          <w:tcPr>
            <w:tcW w:type="dxa" w:w="2882"/>
          </w:tcPr>
          <w:p>
            <w:r/>
            <w:r>
              <w:rPr>
                <w:rFonts w:ascii="宋体" w:hAnsi="宋体"/>
                <w:sz w:val="18"/>
              </w:rPr>
              <w:t>**基础维保**</w:t>
            </w:r>
          </w:p>
        </w:tc>
        <w:tc>
          <w:tcPr>
            <w:tcW w:type="dxa" w:w="2882"/>
          </w:tcPr>
          <w:p>
            <w:r/>
            <w:r>
              <w:rPr>
                <w:rFonts w:ascii="宋体" w:hAnsi="宋体"/>
                <w:sz w:val="18"/>
              </w:rPr>
              <w:t>Bug 修复 + 服务器运维 + 每日备份 + 操作咨询</w:t>
            </w:r>
          </w:p>
        </w:tc>
        <w:tc>
          <w:tcPr>
            <w:tcW w:type="dxa" w:w="2882"/>
          </w:tcPr>
          <w:p>
            <w:r/>
            <w:r>
              <w:rPr>
                <w:rFonts w:ascii="宋体" w:hAnsi="宋体"/>
                <w:sz w:val="18"/>
              </w:rPr>
              <w:t>**¥7,480/年**</w:t>
            </w:r>
          </w:p>
        </w:tc>
      </w:tr>
      <w:tr>
        <w:tc>
          <w:tcPr>
            <w:tcW w:type="dxa" w:w="2882"/>
          </w:tcPr>
          <w:p>
            <w:r/>
            <w:r>
              <w:rPr>
                <w:rFonts w:ascii="宋体" w:hAnsi="宋体"/>
                <w:sz w:val="18"/>
              </w:rPr>
              <w:t>**标准维保(推荐)**</w:t>
            </w:r>
          </w:p>
        </w:tc>
        <w:tc>
          <w:tcPr>
            <w:tcW w:type="dxa" w:w="2882"/>
          </w:tcPr>
          <w:p>
            <w:r/>
            <w:r>
              <w:rPr>
                <w:rFonts w:ascii="宋体" w:hAnsi="宋体"/>
                <w:sz w:val="18"/>
              </w:rPr>
              <w:t>基础维保 + 功能微调(累计 20h/年)+ AI OCR 调用费 + 优先响应</w:t>
            </w:r>
          </w:p>
        </w:tc>
        <w:tc>
          <w:tcPr>
            <w:tcW w:type="dxa" w:w="2882"/>
          </w:tcPr>
          <w:p>
            <w:r/>
            <w:r>
              <w:rPr>
                <w:rFonts w:ascii="宋体" w:hAnsi="宋体"/>
                <w:sz w:val="18"/>
              </w:rPr>
              <w:t>**¥10,780/年**</w:t>
            </w:r>
          </w:p>
        </w:tc>
      </w:tr>
      <w:tr>
        <w:tc>
          <w:tcPr>
            <w:tcW w:type="dxa" w:w="2882"/>
          </w:tcPr>
          <w:p>
            <w:r/>
            <w:r>
              <w:rPr>
                <w:rFonts w:ascii="宋体" w:hAnsi="宋体"/>
                <w:sz w:val="18"/>
              </w:rPr>
              <w:t>**全包维保**</w:t>
            </w:r>
          </w:p>
        </w:tc>
        <w:tc>
          <w:tcPr>
            <w:tcW w:type="dxa" w:w="2882"/>
          </w:tcPr>
          <w:p>
            <w:r/>
            <w:r>
              <w:rPr>
                <w:rFonts w:ascii="宋体" w:hAnsi="宋体"/>
                <w:sz w:val="18"/>
              </w:rPr>
              <w:t>标准维保 + 新功能开发 8 折 + 紧急响应(4h 内)</w:t>
            </w:r>
          </w:p>
        </w:tc>
        <w:tc>
          <w:tcPr>
            <w:tcW w:type="dxa" w:w="2882"/>
          </w:tcPr>
          <w:p>
            <w:r/>
            <w:r>
              <w:rPr>
                <w:rFonts w:ascii="宋体" w:hAnsi="宋体"/>
                <w:sz w:val="18"/>
              </w:rPr>
              <w:t>**¥18,480/年**</w:t>
            </w:r>
          </w:p>
        </w:tc>
      </w:tr>
    </w:tbl>
    <w:p/>
    <w:p>
      <w:pPr>
        <w:spacing w:after="80"/>
      </w:pPr>
      <w:r>
        <w:rPr>
          <w:rFonts w:ascii="宋体" w:hAnsi="宋体"/>
        </w:rPr>
        <w:t>以上费用标准作为合同约定的参考依据,实际续签时可根据当时的服务内容和市场行情适当调整。</w:t>
      </w:r>
    </w:p>
    <w:p>
      <w:pPr>
        <w:pStyle w:val="Heading4"/>
      </w:pPr>
      <w:r>
        <w:rPr>
          <w:rFonts w:ascii="黑体" w:hAnsi="黑体"/>
        </w:rPr>
        <w:t>8.5 需求变更与新增功能报价参考</w:t>
      </w:r>
    </w:p>
    <w:p>
      <w:pPr>
        <w:spacing w:after="80"/>
      </w:pPr>
      <w:r>
        <w:rPr>
          <w:rFonts w:ascii="宋体" w:hAnsi="宋体"/>
        </w:rPr>
        <w:t>对于超出日常优化范畴的新增需求或功能开发,乙方按以下原则报价:</w:t>
      </w:r>
    </w:p>
    <w:p>
      <w:pPr>
        <w:pStyle w:val="ListBullet"/>
        <w:spacing w:after="40"/>
      </w:pPr>
      <w:r>
        <w:t>双方就需求变更内容达成一致后,乙方出具书面报价方案(含工作量估算和费用预览)</w:t>
      </w:r>
    </w:p>
    <w:p>
      <w:pPr>
        <w:pStyle w:val="ListBullet"/>
        <w:spacing w:after="40"/>
      </w:pPr>
      <w:r>
        <w:t>甲方确认报价后,乙方启动开发</w:t>
      </w:r>
    </w:p>
    <w:p>
      <w:pPr>
        <w:pStyle w:val="ListBullet"/>
        <w:spacing w:after="40"/>
      </w:pPr>
      <w:r>
        <w:t>具体费用根据需求的复杂度、工作量和排期情况,由双方协商确定</w:t>
      </w:r>
    </w:p>
    <w:p>
      <w:pPr>
        <w:ind w:left="454"/>
      </w:pPr>
      <w:r>
        <w:rPr>
          <w:i/>
          <w:color w:val="555555"/>
          <w:sz w:val="19"/>
        </w:rPr>
        <w:t>**说明**:乙方承诺报价合理透明,不做虚高报价。如涉及第三方系统对接或数据迁移,乙方评估后出具专项报价。</w:t>
      </w:r>
    </w:p>
    <w:p>
      <w:pPr>
        <w:pStyle w:val="Heading3"/>
      </w:pPr>
      <w:r>
        <w:rPr>
          <w:rFonts w:ascii="黑体" w:hAnsi="黑体"/>
        </w:rPr>
        <w:t>第九条 双方权利义务</w:t>
      </w:r>
    </w:p>
    <w:p>
      <w:pPr>
        <w:pStyle w:val="Heading4"/>
      </w:pPr>
      <w:r>
        <w:rPr>
          <w:rFonts w:ascii="黑体" w:hAnsi="黑体"/>
        </w:rPr>
        <w:t>9.1 甲方的权利义务</w:t>
      </w:r>
    </w:p>
    <w:p>
      <w:pPr>
        <w:spacing w:after="80"/>
      </w:pPr>
      <w:r>
        <w:rPr>
          <w:rFonts w:ascii="宋体" w:hAnsi="宋体"/>
        </w:rPr>
        <w:t>9.1.1 甲方应按照《需求方案》及合同约定的配合事项清单,及时提供项目所需的基础数据、业务资料和测试反馈。</w:t>
      </w:r>
    </w:p>
    <w:p>
      <w:pPr>
        <w:spacing w:after="80"/>
      </w:pPr>
      <w:r>
        <w:rPr>
          <w:rFonts w:ascii="宋体" w:hAnsi="宋体"/>
        </w:rPr>
        <w:t>9.1.2 甲方应指定 1 名项目接口人,负责需求沟通、测试反馈和进度协调。</w:t>
      </w:r>
    </w:p>
    <w:p>
      <w:pPr>
        <w:spacing w:after="80"/>
      </w:pPr>
      <w:r>
        <w:rPr>
          <w:rFonts w:ascii="宋体" w:hAnsi="宋体"/>
        </w:rPr>
        <w:t>9.1.3 甲方应推动系统在公司内部的落地使用,确保各岗位人员按要求使用系统。</w:t>
      </w:r>
    </w:p>
    <w:p>
      <w:pPr>
        <w:spacing w:after="80"/>
      </w:pPr>
      <w:r>
        <w:rPr>
          <w:rFonts w:ascii="宋体" w:hAnsi="宋体"/>
        </w:rPr>
        <w:t>9.1.4 甲方应按合同约定及时支付合同款项。</w:t>
      </w:r>
    </w:p>
    <w:p>
      <w:pPr>
        <w:spacing w:after="80"/>
      </w:pPr>
      <w:r>
        <w:rPr>
          <w:rFonts w:ascii="宋体" w:hAnsi="宋体"/>
        </w:rPr>
        <w:t>9.1.5 甲方有权依据《需求方案》约定的验收标准对系统各项功能进行验收测试。</w:t>
      </w:r>
    </w:p>
    <w:p>
      <w:pPr>
        <w:pStyle w:val="Heading4"/>
      </w:pPr>
      <w:r>
        <w:rPr>
          <w:rFonts w:ascii="黑体" w:hAnsi="黑体"/>
        </w:rPr>
        <w:t>9.2 乙方的权利义务</w:t>
      </w:r>
    </w:p>
    <w:p>
      <w:pPr>
        <w:spacing w:after="80"/>
      </w:pPr>
      <w:r>
        <w:rPr>
          <w:rFonts w:ascii="宋体" w:hAnsi="宋体"/>
        </w:rPr>
        <w:t>9.2.1 乙方应按照《需求方案》和本合同约定,按时保质完成系统设计、开发、测试、部署、培训等工作。</w:t>
      </w:r>
    </w:p>
    <w:p>
      <w:pPr>
        <w:spacing w:after="80"/>
      </w:pPr>
      <w:r>
        <w:rPr>
          <w:rFonts w:ascii="宋体" w:hAnsi="宋体"/>
        </w:rPr>
        <w:t>9.2.2 乙方负责维护系统运行环境的稳定和安全,保障系统的正常使用。</w:t>
      </w:r>
    </w:p>
    <w:p>
      <w:pPr>
        <w:spacing w:after="80"/>
      </w:pPr>
      <w:r>
        <w:rPr>
          <w:rFonts w:ascii="宋体" w:hAnsi="宋体"/>
        </w:rPr>
        <w:t>9.2.3 乙方应对甲方提供的业务数据和商业信息保密,不得用于本合同约定以外的用途。</w:t>
      </w:r>
    </w:p>
    <w:p>
      <w:pPr>
        <w:spacing w:after="80"/>
      </w:pPr>
      <w:r>
        <w:rPr>
          <w:rFonts w:ascii="宋体" w:hAnsi="宋体"/>
        </w:rPr>
        <w:t>9.2.4 乙方应向甲方提供必要的人员培训和操作指导。</w:t>
      </w:r>
    </w:p>
    <w:p>
      <w:pPr>
        <w:spacing w:after="80"/>
      </w:pPr>
      <w:r>
        <w:rPr>
          <w:rFonts w:ascii="宋体" w:hAnsi="宋体"/>
        </w:rPr>
        <w:t>9.2.5 若因乙方原因导致系统无法达到《需求方案》约定的核心功能指标,乙方应负责免费修复直至达标。</w:t>
      </w:r>
    </w:p>
    <w:p>
      <w:pPr>
        <w:pStyle w:val="Heading4"/>
      </w:pPr>
      <w:r>
        <w:rPr>
          <w:rFonts w:ascii="黑体" w:hAnsi="黑体"/>
        </w:rPr>
        <w:t>9.3 甲方配合逾期</w:t>
      </w:r>
    </w:p>
    <w:p>
      <w:pPr>
        <w:spacing w:after="80"/>
      </w:pPr>
      <w:r>
        <w:rPr>
          <w:rFonts w:ascii="宋体" w:hAnsi="宋体"/>
        </w:rPr>
        <w:t xml:space="preserve">甲方未按约定及时提供需求确认、基础数据或测试反馈,导致任一阶段的需求确认或测试周期累计超过 </w:t>
      </w:r>
      <w:r>
        <w:rPr>
          <w:rFonts w:ascii="黑体" w:hAnsi="黑体"/>
          <w:b/>
        </w:rPr>
        <w:t>30 个自然日</w:t>
      </w:r>
      <w:r>
        <w:rPr>
          <w:rFonts w:ascii="宋体" w:hAnsi="宋体"/>
        </w:rPr>
        <w:t xml:space="preserve"> 的,视为甲方对乙方当前已提交成果的默认认可,乙方有权将该阶段标记为需求已确认或验收通过,并继续推进后续阶段开发。</w:t>
      </w:r>
    </w:p>
    <w:p>
      <w:pPr>
        <w:pStyle w:val="Heading3"/>
      </w:pPr>
      <w:r>
        <w:rPr>
          <w:rFonts w:ascii="黑体" w:hAnsi="黑体"/>
        </w:rPr>
        <w:t>第十条 保密条款</w:t>
      </w:r>
    </w:p>
    <w:p>
      <w:pPr>
        <w:pStyle w:val="Heading4"/>
      </w:pPr>
      <w:r>
        <w:rPr>
          <w:rFonts w:ascii="黑体" w:hAnsi="黑体"/>
        </w:rPr>
        <w:t>10.1 保密内容</w:t>
      </w:r>
    </w:p>
    <w:p>
      <w:pPr>
        <w:spacing w:after="80"/>
      </w:pPr>
      <w:r>
        <w:rPr>
          <w:rFonts w:ascii="宋体" w:hAnsi="宋体"/>
        </w:rPr>
        <w:t>双方承诺对在签订和履行本合同过程中知悉的对方的商业秘密、技术信息、业务数据、财务信息及其他未公开信息(以下统称"保密信息")承担保密义务。</w:t>
      </w:r>
    </w:p>
    <w:p>
      <w:pPr>
        <w:pStyle w:val="Heading4"/>
      </w:pPr>
      <w:r>
        <w:rPr>
          <w:rFonts w:ascii="黑体" w:hAnsi="黑体"/>
        </w:rPr>
        <w:t>10.2 保密期限</w:t>
      </w:r>
    </w:p>
    <w:p>
      <w:pPr>
        <w:spacing w:after="80"/>
      </w:pPr>
      <w:r>
        <w:rPr>
          <w:rFonts w:ascii="宋体" w:hAnsi="宋体"/>
        </w:rPr>
        <w:t>保密义务自本合同签订之日起至相关信息进入公有领域之日止。</w:t>
      </w:r>
    </w:p>
    <w:p>
      <w:pPr>
        <w:pStyle w:val="Heading4"/>
      </w:pPr>
      <w:r>
        <w:rPr>
          <w:rFonts w:ascii="黑体" w:hAnsi="黑体"/>
        </w:rPr>
        <w:t>10.3 保密义务</w:t>
      </w:r>
    </w:p>
    <w:p>
      <w:pPr>
        <w:spacing w:after="80"/>
      </w:pPr>
      <w:r>
        <w:rPr>
          <w:rFonts w:ascii="宋体" w:hAnsi="宋体"/>
        </w:rPr>
        <w:t>10.3.1 未经对方书面许可,任何一方不得向第三方披露保密信息。</w:t>
      </w:r>
    </w:p>
    <w:p>
      <w:pPr>
        <w:spacing w:after="80"/>
      </w:pPr>
      <w:r>
        <w:rPr>
          <w:rFonts w:ascii="宋体" w:hAnsi="宋体"/>
        </w:rPr>
        <w:t>10.3.2 双方应确保其员工、顾问、关联方等接触保密信息的人员遵守本条约定。</w:t>
      </w:r>
    </w:p>
    <w:p>
      <w:pPr>
        <w:spacing w:after="80"/>
      </w:pPr>
      <w:r>
        <w:rPr>
          <w:rFonts w:ascii="宋体" w:hAnsi="宋体"/>
        </w:rPr>
        <w:t>10.3.3 法律法规或司法机关要求的披露不受本条限制,但披露方应在合理范围内提前通知对方。</w:t>
      </w:r>
    </w:p>
    <w:p>
      <w:pPr>
        <w:pStyle w:val="Heading4"/>
      </w:pPr>
      <w:r>
        <w:rPr>
          <w:rFonts w:ascii="黑体" w:hAnsi="黑体"/>
        </w:rPr>
        <w:t>10.4 例外情形</w:t>
      </w:r>
    </w:p>
    <w:p>
      <w:pPr>
        <w:spacing w:after="80"/>
      </w:pPr>
      <w:r>
        <w:rPr>
          <w:rFonts w:ascii="宋体" w:hAnsi="宋体"/>
        </w:rPr>
        <w:t>以下信息不属于保密信息范畴:</w:t>
      </w:r>
    </w:p>
    <w:p>
      <w:pPr>
        <w:pStyle w:val="ListBullet"/>
        <w:spacing w:after="40"/>
      </w:pPr>
      <w:r>
        <w:t>在披露时已经公开或之后非因接收方过错而公开的信息;</w:t>
      </w:r>
    </w:p>
    <w:p>
      <w:pPr>
        <w:pStyle w:val="ListBullet"/>
        <w:spacing w:after="40"/>
      </w:pPr>
      <w:r>
        <w:t>接收方能够证明在披露前已经合法持有的信息;</w:t>
      </w:r>
    </w:p>
    <w:p>
      <w:pPr>
        <w:pStyle w:val="ListBullet"/>
        <w:spacing w:after="40"/>
      </w:pPr>
      <w:r>
        <w:t>接收方从有权披露的第三方合法获取的信息;</w:t>
      </w:r>
    </w:p>
    <w:p>
      <w:pPr>
        <w:pStyle w:val="ListBullet"/>
        <w:spacing w:after="40"/>
      </w:pPr>
      <w:r>
        <w:t>接收方未使用对方保密信息独立开发的信息。</w:t>
      </w:r>
    </w:p>
    <w:p>
      <w:pPr>
        <w:pStyle w:val="Heading3"/>
      </w:pPr>
      <w:r>
        <w:rPr>
          <w:rFonts w:ascii="黑体" w:hAnsi="黑体"/>
        </w:rPr>
        <w:t>第十一条 违约责任</w:t>
      </w:r>
    </w:p>
    <w:p>
      <w:pPr>
        <w:pStyle w:val="Heading4"/>
      </w:pPr>
      <w:r>
        <w:rPr>
          <w:rFonts w:ascii="黑体" w:hAnsi="黑体"/>
        </w:rPr>
        <w:t>11.1 甲方违约</w:t>
      </w:r>
    </w:p>
    <w:p>
      <w:pPr>
        <w:spacing w:after="80"/>
      </w:pPr>
      <w:r>
        <w:rPr>
          <w:rFonts w:ascii="宋体" w:hAnsi="宋体"/>
        </w:rPr>
        <w:t xml:space="preserve">11.1.1 甲方未按合同约定时间支付款项的,每逾期一日,应按逾期金额的 </w:t>
      </w:r>
      <w:r>
        <w:rPr>
          <w:rFonts w:ascii="黑体" w:hAnsi="黑体"/>
          <w:b/>
        </w:rPr>
        <w:t>万分之五</w:t>
      </w:r>
      <w:r>
        <w:rPr>
          <w:rFonts w:ascii="宋体" w:hAnsi="宋体"/>
        </w:rPr>
        <w:t xml:space="preserve"> 向乙方支付违约金。逾期超过 30 日的,乙方有权单方解除合同,并要求甲方支付已提供服务对应的费用及逾期违约金。</w:t>
      </w:r>
    </w:p>
    <w:p>
      <w:pPr>
        <w:spacing w:after="80"/>
      </w:pPr>
      <w:r>
        <w:rPr>
          <w:rFonts w:ascii="宋体" w:hAnsi="宋体"/>
        </w:rPr>
        <w:t>11.1.2 因甲方配合不及时、提供资料不准确或需求变更等原因导致工期延误的,乙方不承担责任,工期相应顺延。</w:t>
      </w:r>
    </w:p>
    <w:p>
      <w:pPr>
        <w:pStyle w:val="Heading4"/>
      </w:pPr>
      <w:r>
        <w:rPr>
          <w:rFonts w:ascii="黑体" w:hAnsi="黑体"/>
        </w:rPr>
        <w:t>11.2 乙方违约</w:t>
      </w:r>
    </w:p>
    <w:p>
      <w:pPr>
        <w:spacing w:after="80"/>
      </w:pPr>
      <w:r>
        <w:rPr>
          <w:rFonts w:ascii="宋体" w:hAnsi="宋体"/>
        </w:rPr>
        <w:t xml:space="preserve">11.2.1 乙方未按合同约定期限交付系统的,每逾期一日,应按合同总金额的 </w:t>
      </w:r>
      <w:r>
        <w:rPr>
          <w:rFonts w:ascii="黑体" w:hAnsi="黑体"/>
          <w:b/>
        </w:rPr>
        <w:t>万分之五</w:t>
      </w:r>
      <w:r>
        <w:rPr>
          <w:rFonts w:ascii="宋体" w:hAnsi="宋体"/>
        </w:rPr>
        <w:t xml:space="preserve"> 向甲方支付违约金。累计逾期超过 60 日的,甲方有权单方解除合同,并要求乙方退还已支付款项。</w:t>
      </w:r>
    </w:p>
    <w:p>
      <w:pPr>
        <w:spacing w:after="80"/>
      </w:pPr>
      <w:r>
        <w:rPr>
          <w:rFonts w:ascii="宋体" w:hAnsi="宋体"/>
        </w:rPr>
        <w:t>11.2.2 乙方交付的系统存在重大缺陷,经合理修复后仍无法达到《需求方案》核心功能要求的,甲方有权解除合同,乙方应退还</w:t>
      </w:r>
      <w:r>
        <w:rPr>
          <w:rFonts w:ascii="黑体" w:hAnsi="黑体"/>
          <w:b/>
        </w:rPr>
        <w:t>与该缺陷所属阶段对应的已支付款项</w:t>
      </w:r>
      <w:r>
        <w:rPr>
          <w:rFonts w:ascii="宋体" w:hAnsi="宋体"/>
        </w:rPr>
        <w:t>,已验收通过并正常使用的其他阶段费用不予退还。</w:t>
      </w:r>
    </w:p>
    <w:p>
      <w:pPr>
        <w:spacing w:after="80"/>
      </w:pPr>
      <w:r>
        <w:rPr>
          <w:rFonts w:ascii="宋体" w:hAnsi="宋体"/>
        </w:rPr>
        <w:t>11.2.3 因乙方违反保密义务或知识产权约定给甲方造成损失的,乙方应承担全部赔偿责任。</w:t>
      </w:r>
    </w:p>
    <w:p>
      <w:pPr>
        <w:pStyle w:val="Heading4"/>
      </w:pPr>
      <w:r>
        <w:rPr>
          <w:rFonts w:ascii="黑体" w:hAnsi="黑体"/>
        </w:rPr>
        <w:t>11.3 责任上限</w:t>
      </w:r>
    </w:p>
    <w:p>
      <w:pPr>
        <w:spacing w:after="80"/>
      </w:pPr>
      <w:r>
        <w:rPr>
          <w:rFonts w:ascii="宋体" w:hAnsi="宋体"/>
        </w:rPr>
        <w:t xml:space="preserve">任何一方在本合同项下承担的累计违约赔偿责任,不超过本合同总金额的 </w:t>
      </w:r>
      <w:r>
        <w:rPr>
          <w:rFonts w:ascii="黑体" w:hAnsi="黑体"/>
          <w:b/>
        </w:rPr>
        <w:t>50%</w:t>
      </w:r>
      <w:r>
        <w:rPr>
          <w:rFonts w:ascii="宋体" w:hAnsi="宋体"/>
        </w:rPr>
        <w:t>。但因故意或重大过失造成的损失,或违反保密义务及知识产权约定造成的损失,不受此限。</w:t>
      </w:r>
    </w:p>
    <w:p>
      <w:pPr>
        <w:pStyle w:val="Heading3"/>
      </w:pPr>
      <w:r>
        <w:rPr>
          <w:rFonts w:ascii="黑体" w:hAnsi="黑体"/>
        </w:rPr>
        <w:t>第十二条 不可抗力</w:t>
      </w:r>
    </w:p>
    <w:p>
      <w:pPr>
        <w:spacing w:after="80"/>
      </w:pPr>
      <w:r>
        <w:rPr>
          <w:rFonts w:ascii="宋体" w:hAnsi="宋体"/>
        </w:rPr>
        <w:t>12.1 因自然灾害、战争、政府行为、疫情等不可抗力因素导致合同无法履行或部分无法履行的,受影响方应及时通知对方并提供证明,双方协商处理。</w:t>
      </w:r>
    </w:p>
    <w:p>
      <w:pPr>
        <w:spacing w:after="80"/>
      </w:pPr>
      <w:r>
        <w:rPr>
          <w:rFonts w:ascii="宋体" w:hAnsi="宋体"/>
        </w:rPr>
        <w:t>12.2 不可抗力事件持续超过 30 日且对合同履行产生重大影响的,任何一方均有权书面通知对方解除合同,双方互不承担违约责任。</w:t>
      </w:r>
    </w:p>
    <w:p>
      <w:pPr>
        <w:pStyle w:val="Heading3"/>
      </w:pPr>
      <w:r>
        <w:rPr>
          <w:rFonts w:ascii="黑体" w:hAnsi="黑体"/>
        </w:rPr>
        <w:t>第十三条 争议解决</w:t>
      </w:r>
    </w:p>
    <w:p>
      <w:pPr>
        <w:spacing w:after="80"/>
      </w:pPr>
      <w:r>
        <w:rPr>
          <w:rFonts w:ascii="宋体" w:hAnsi="宋体"/>
        </w:rPr>
        <w:t>13.1 因本合同引起的或与本合同有关的任何争议,双方应首先通过友好协商解决。</w:t>
      </w:r>
    </w:p>
    <w:p>
      <w:pPr>
        <w:spacing w:after="80"/>
      </w:pPr>
      <w:r>
        <w:rPr>
          <w:rFonts w:ascii="宋体" w:hAnsi="宋体"/>
        </w:rPr>
        <w:t xml:space="preserve">13.2 协商不成的,任何一方均可向 </w:t>
      </w:r>
      <w:r>
        <w:rPr>
          <w:rFonts w:ascii="黑体" w:hAnsi="黑体"/>
          <w:b/>
        </w:rPr>
        <w:t>乙方所在地有管辖权的人民法院</w:t>
      </w:r>
      <w:r>
        <w:rPr>
          <w:rFonts w:ascii="宋体" w:hAnsi="宋体"/>
        </w:rPr>
        <w:t xml:space="preserve"> 提起诉讼。</w:t>
      </w:r>
    </w:p>
    <w:p>
      <w:pPr>
        <w:spacing w:after="80"/>
      </w:pPr>
      <w:r>
        <w:rPr>
          <w:rFonts w:ascii="宋体" w:hAnsi="宋体"/>
        </w:rPr>
        <w:t>13.3 争议解决期间,双方应继续履行合同无争议部分的约定。</w:t>
      </w:r>
    </w:p>
    <w:p>
      <w:pPr>
        <w:pStyle w:val="Heading3"/>
      </w:pPr>
      <w:r>
        <w:rPr>
          <w:rFonts w:ascii="黑体" w:hAnsi="黑体"/>
        </w:rPr>
        <w:t>第十四条 其他条款</w:t>
      </w:r>
    </w:p>
    <w:p>
      <w:pPr>
        <w:pStyle w:val="Heading4"/>
      </w:pPr>
      <w:r>
        <w:rPr>
          <w:rFonts w:ascii="黑体" w:hAnsi="黑体"/>
        </w:rPr>
        <w:t>14.1 完整协议</w:t>
      </w:r>
    </w:p>
    <w:p>
      <w:pPr>
        <w:spacing w:after="80"/>
      </w:pPr>
      <w:r>
        <w:rPr>
          <w:rFonts w:ascii="宋体" w:hAnsi="宋体"/>
        </w:rPr>
        <w:t>本合同及其附件构成双方就本项目达成的完整协议,取代此前就本项目达成的任何口头或书面的沟通、陈述、约定和协议。</w:t>
      </w:r>
    </w:p>
    <w:p>
      <w:pPr>
        <w:pStyle w:val="Heading4"/>
      </w:pPr>
      <w:r>
        <w:rPr>
          <w:rFonts w:ascii="黑体" w:hAnsi="黑体"/>
        </w:rPr>
        <w:t>14.2 合同变更</w:t>
      </w:r>
    </w:p>
    <w:p>
      <w:pPr>
        <w:spacing w:after="80"/>
      </w:pPr>
      <w:r>
        <w:rPr>
          <w:rFonts w:ascii="宋体" w:hAnsi="宋体"/>
        </w:rPr>
        <w:t>本合同的任何修改或补充,须经双方书面协商一致并签署补充协议,补充协议与本合同具有同等法律效力。</w:t>
      </w:r>
    </w:p>
    <w:p>
      <w:pPr>
        <w:pStyle w:val="Heading4"/>
      </w:pPr>
      <w:r>
        <w:rPr>
          <w:rFonts w:ascii="黑体" w:hAnsi="黑体"/>
        </w:rPr>
        <w:t>14.3 合同转让</w:t>
      </w:r>
    </w:p>
    <w:p>
      <w:pPr>
        <w:spacing w:after="80"/>
      </w:pPr>
      <w:r>
        <w:rPr>
          <w:rFonts w:ascii="宋体" w:hAnsi="宋体"/>
        </w:rPr>
        <w:t>未经对方书面同意,任何一方不得将本合同项下的权利义务部分或全部转让给第三方。</w:t>
      </w:r>
    </w:p>
    <w:p>
      <w:pPr>
        <w:pStyle w:val="Heading4"/>
      </w:pPr>
      <w:r>
        <w:rPr>
          <w:rFonts w:ascii="黑体" w:hAnsi="黑体"/>
        </w:rPr>
        <w:t>14.4 可分性</w:t>
      </w:r>
    </w:p>
    <w:p>
      <w:pPr>
        <w:spacing w:after="80"/>
      </w:pPr>
      <w:r>
        <w:rPr>
          <w:rFonts w:ascii="宋体" w:hAnsi="宋体"/>
        </w:rPr>
        <w:t>如本合同的某一条款被有管辖权的法院或仲裁机构认定为无效或不可执行,不影响其他条款的效力。</w:t>
      </w:r>
    </w:p>
    <w:p>
      <w:pPr>
        <w:pStyle w:val="Heading4"/>
      </w:pPr>
      <w:r>
        <w:rPr>
          <w:rFonts w:ascii="黑体" w:hAnsi="黑体"/>
        </w:rPr>
        <w:t>14.5 通知送达</w:t>
      </w:r>
    </w:p>
    <w:p>
      <w:pPr>
        <w:spacing w:after="80"/>
      </w:pPr>
      <w:r>
        <w:rPr>
          <w:rFonts w:ascii="宋体" w:hAnsi="宋体"/>
        </w:rPr>
        <w:t>双方就本合同项下事项发送的通知,应以书面形式(包括但不限于电子邮件、快递、即时通讯工具)送达至本合同首部载明的联系地址和联系人。通知在以下时间视为送达:</w:t>
      </w:r>
    </w:p>
    <w:p>
      <w:pPr>
        <w:pStyle w:val="ListBullet"/>
        <w:spacing w:after="40"/>
      </w:pPr>
      <w:r>
        <w:t>电子邮件发送至指定邮箱后;</w:t>
      </w:r>
    </w:p>
    <w:p>
      <w:pPr>
        <w:pStyle w:val="ListBullet"/>
        <w:spacing w:after="40"/>
      </w:pPr>
      <w:r>
        <w:t>快递签收后;</w:t>
      </w:r>
    </w:p>
    <w:p>
      <w:pPr>
        <w:pStyle w:val="ListBullet"/>
        <w:spacing w:after="40"/>
      </w:pPr>
      <w:r>
        <w:t>即时通讯工具发送后。</w:t>
      </w:r>
    </w:p>
    <w:p>
      <w:pPr>
        <w:pStyle w:val="Heading4"/>
      </w:pPr>
      <w:r>
        <w:rPr>
          <w:rFonts w:ascii="黑体" w:hAnsi="黑体"/>
        </w:rPr>
        <w:t>14.6 合同生效</w:t>
      </w:r>
    </w:p>
    <w:p>
      <w:pPr>
        <w:spacing w:after="80"/>
      </w:pPr>
      <w:r>
        <w:rPr>
          <w:rFonts w:ascii="宋体" w:hAnsi="宋体"/>
        </w:rPr>
        <w:t xml:space="preserve">本合同一式 </w:t>
      </w:r>
      <w:r>
        <w:rPr>
          <w:rFonts w:ascii="黑体" w:hAnsi="黑体"/>
          <w:b/>
        </w:rPr>
        <w:t>肆份</w:t>
      </w:r>
      <w:r>
        <w:rPr>
          <w:rFonts w:ascii="宋体" w:hAnsi="宋体"/>
        </w:rPr>
        <w:t xml:space="preserve">,甲、乙双方各执 </w:t>
      </w:r>
      <w:r>
        <w:rPr>
          <w:rFonts w:ascii="黑体" w:hAnsi="黑体"/>
          <w:b/>
        </w:rPr>
        <w:t>贰份</w:t>
      </w:r>
      <w:r>
        <w:rPr>
          <w:rFonts w:ascii="宋体" w:hAnsi="宋体"/>
        </w:rPr>
        <w:t>,经双方法定代表人或授权代表签字并加盖公章后生效,具有同等法律效力。</w:t>
      </w:r>
    </w:p>
    <w:p>
      <w:pPr>
        <w:pStyle w:val="Heading4"/>
      </w:pPr>
      <w:r>
        <w:rPr>
          <w:rFonts w:ascii="黑体" w:hAnsi="黑体"/>
        </w:rPr>
        <w:t>14.7 合同附件</w:t>
      </w:r>
    </w:p>
    <w:p>
      <w:pPr>
        <w:spacing w:after="80"/>
      </w:pPr>
      <w:r>
        <w:rPr>
          <w:rFonts w:ascii="宋体" w:hAnsi="宋体"/>
        </w:rPr>
        <w:t>本合同附件为本合同不可分割的组成部分,与本合同具有同等法律效力:</w:t>
      </w:r>
    </w:p>
    <w:tbl>
      <w:tblPr>
        <w:tblStyle w:val="TableGrid"/>
        <w:tblW w:type="auto" w:w="0"/>
        <w:jc w:val="center"/>
        <w:tblLook w:firstColumn="1" w:firstRow="1" w:lastColumn="0" w:lastRow="0" w:noHBand="0" w:noVBand="1" w:val="04A0"/>
      </w:tblPr>
      <w:tblGrid>
        <w:gridCol w:w="2882"/>
        <w:gridCol w:w="2882"/>
        <w:gridCol w:w="2882"/>
      </w:tblGrid>
      <w:tr>
        <w:tc>
          <w:tcPr>
            <w:tcW w:type="dxa" w:w="2882"/>
            <w:shd w:fill="F0F2F5"/>
          </w:tcPr>
          <w:p>
            <w:r/>
            <w:r>
              <w:rPr>
                <w:rFonts w:ascii="黑体" w:hAnsi="黑体"/>
                <w:b/>
                <w:sz w:val="18"/>
              </w:rPr>
              <w:t>附件编号</w:t>
            </w:r>
          </w:p>
        </w:tc>
        <w:tc>
          <w:tcPr>
            <w:tcW w:type="dxa" w:w="2882"/>
            <w:shd w:fill="F0F2F5"/>
          </w:tcPr>
          <w:p>
            <w:r/>
            <w:r>
              <w:rPr>
                <w:rFonts w:ascii="黑体" w:hAnsi="黑体"/>
                <w:b/>
                <w:sz w:val="18"/>
              </w:rPr>
              <w:t>附件名称</w:t>
            </w:r>
          </w:p>
        </w:tc>
        <w:tc>
          <w:tcPr>
            <w:tcW w:type="dxa" w:w="2882"/>
            <w:shd w:fill="F0F2F5"/>
          </w:tcPr>
          <w:p>
            <w:r/>
            <w:r>
              <w:rPr>
                <w:rFonts w:ascii="黑体" w:hAnsi="黑体"/>
                <w:b/>
                <w:sz w:val="18"/>
              </w:rPr>
              <w:t>备注</w:t>
            </w:r>
          </w:p>
        </w:tc>
      </w:tr>
      <w:tr>
        <w:tc>
          <w:tcPr>
            <w:tcW w:type="dxa" w:w="2882"/>
          </w:tcPr>
          <w:p>
            <w:r/>
            <w:r>
              <w:rPr>
                <w:rFonts w:ascii="宋体" w:hAnsi="宋体"/>
                <w:sz w:val="18"/>
              </w:rPr>
              <w:t>:--------:</w:t>
            </w:r>
          </w:p>
        </w:tc>
        <w:tc>
          <w:tcPr>
            <w:tcW w:type="dxa" w:w="2882"/>
          </w:tcPr>
          <w:p>
            <w:r/>
            <w:r>
              <w:rPr>
                <w:rFonts w:ascii="宋体" w:hAnsi="宋体"/>
                <w:sz w:val="18"/>
              </w:rPr>
              <w:t>---------</w:t>
            </w:r>
          </w:p>
        </w:tc>
        <w:tc>
          <w:tcPr>
            <w:tcW w:type="dxa" w:w="2882"/>
          </w:tcPr>
          <w:p>
            <w:r/>
            <w:r>
              <w:rPr>
                <w:rFonts w:ascii="宋体" w:hAnsi="宋体"/>
                <w:sz w:val="18"/>
              </w:rPr>
              <w:t>:----:</w:t>
            </w:r>
          </w:p>
        </w:tc>
      </w:tr>
      <w:tr>
        <w:tc>
          <w:tcPr>
            <w:tcW w:type="dxa" w:w="2882"/>
          </w:tcPr>
          <w:p>
            <w:r/>
            <w:r>
              <w:rPr>
                <w:rFonts w:ascii="宋体" w:hAnsi="宋体"/>
                <w:sz w:val="18"/>
              </w:rPr>
              <w:t>附件一</w:t>
            </w:r>
          </w:p>
        </w:tc>
        <w:tc>
          <w:tcPr>
            <w:tcW w:type="dxa" w:w="2882"/>
          </w:tcPr>
          <w:p>
            <w:r/>
            <w:r>
              <w:rPr>
                <w:rFonts w:ascii="宋体" w:hAnsi="宋体"/>
                <w:sz w:val="18"/>
              </w:rPr>
              <w:t>《今宽进销存系统-需求方案-v4.0》</w:t>
            </w:r>
          </w:p>
        </w:tc>
        <w:tc>
          <w:tcPr>
            <w:tcW w:type="dxa" w:w="2882"/>
          </w:tcPr>
          <w:p>
            <w:r/>
            <w:r>
              <w:rPr>
                <w:rFonts w:ascii="宋体" w:hAnsi="宋体"/>
                <w:sz w:val="18"/>
              </w:rPr>
              <w:t>项目功能需求、技术规格、验收标准</w:t>
            </w:r>
          </w:p>
        </w:tc>
      </w:tr>
      <w:tr>
        <w:tc>
          <w:tcPr>
            <w:tcW w:type="dxa" w:w="2882"/>
          </w:tcPr>
          <w:p>
            <w:r/>
            <w:r>
              <w:rPr>
                <w:rFonts w:ascii="宋体" w:hAnsi="宋体"/>
                <w:sz w:val="18"/>
              </w:rPr>
              <w:t>附件二</w:t>
            </w:r>
          </w:p>
        </w:tc>
        <w:tc>
          <w:tcPr>
            <w:tcW w:type="dxa" w:w="2882"/>
          </w:tcPr>
          <w:p>
            <w:r/>
            <w:r>
              <w:rPr>
                <w:rFonts w:ascii="宋体" w:hAnsi="宋体"/>
                <w:sz w:val="18"/>
              </w:rPr>
              <w:t>《今宽项目-进销存系统报价方案-v4.1》</w:t>
            </w:r>
          </w:p>
        </w:tc>
        <w:tc>
          <w:tcPr>
            <w:tcW w:type="dxa" w:w="2882"/>
          </w:tcPr>
          <w:p>
            <w:r/>
            <w:r>
              <w:rPr>
                <w:rFonts w:ascii="宋体" w:hAnsi="宋体"/>
                <w:sz w:val="18"/>
              </w:rPr>
              <w:t>价格明细与费用构成</w:t>
            </w:r>
          </w:p>
        </w:tc>
      </w:tr>
    </w:tbl>
    <w:p/>
    <w:p>
      <w:pPr>
        <w:pStyle w:val="Heading3"/>
      </w:pPr>
      <w:r>
        <w:rPr>
          <w:rFonts w:ascii="黑体" w:hAnsi="黑体"/>
        </w:rPr>
        <w:t>合同签署页</w:t>
      </w:r>
    </w:p>
    <w:p>
      <w:pPr>
        <w:spacing w:after="80"/>
      </w:pPr>
      <w:r>
        <w:rPr>
          <w:rFonts w:ascii="宋体" w:hAnsi="宋体"/>
        </w:rPr>
      </w:r>
      <w:r>
        <w:rPr>
          <w:rFonts w:ascii="黑体" w:hAnsi="黑体"/>
          <w:b/>
        </w:rPr>
        <w:t>甲方(盖章)</w:t>
      </w:r>
      <w:r>
        <w:rPr>
          <w:rFonts w:ascii="宋体" w:hAnsi="宋体"/>
        </w:rPr>
        <w:t>:安徽今宽新材料科技有限公司</w:t>
      </w:r>
    </w:p>
    <w:p>
      <w:pPr>
        <w:spacing w:after="80"/>
      </w:pPr>
      <w:r>
        <w:rPr>
          <w:rFonts w:ascii="宋体" w:hAnsi="宋体"/>
        </w:rPr>
        <w:t>法定代表人/授权代表(签字):__________________</w:t>
      </w:r>
    </w:p>
    <w:p>
      <w:pPr>
        <w:spacing w:after="80"/>
      </w:pPr>
      <w:r>
        <w:rPr>
          <w:rFonts w:ascii="宋体" w:hAnsi="宋体"/>
        </w:rPr>
        <w:t>日期:______年______月______日</w:t>
      </w:r>
    </w:p>
    <w:p>
      <w:pPr>
        <w:spacing w:after="80"/>
      </w:pPr>
      <w:r>
        <w:rPr>
          <w:rFonts w:ascii="宋体" w:hAnsi="宋体"/>
        </w:rPr>
      </w:r>
      <w:r>
        <w:rPr>
          <w:rFonts w:ascii="黑体" w:hAnsi="黑体"/>
          <w:b/>
        </w:rPr>
        <w:t>乙方(盖章)</w:t>
      </w:r>
      <w:r>
        <w:rPr>
          <w:rFonts w:ascii="宋体" w:hAnsi="宋体"/>
        </w:rPr>
        <w:t>:铭见(上海)智能科技有限公司</w:t>
      </w:r>
    </w:p>
    <w:p>
      <w:pPr>
        <w:spacing w:after="80"/>
      </w:pPr>
      <w:r>
        <w:rPr>
          <w:rFonts w:ascii="宋体" w:hAnsi="宋体"/>
        </w:rPr>
        <w:t>法定代表人/授权代表(签字):__________________</w:t>
      </w:r>
    </w:p>
    <w:p>
      <w:pPr>
        <w:spacing w:after="80"/>
      </w:pPr>
      <w:r>
        <w:rPr>
          <w:rFonts w:ascii="宋体" w:hAnsi="宋体"/>
        </w:rPr>
        <w:t>日期:______年______月______日</w:t>
      </w:r>
    </w:p>
    <w:p>
      <w:pPr>
        <w:ind w:left="454"/>
      </w:pPr>
      <w:r>
        <w:rPr>
          <w:i/>
          <w:color w:val="555555"/>
          <w:sz w:val="19"/>
        </w:rPr>
        <w:t>*本文件为正式法律文书,建议双方在签署前由各自法律顾问审阅。*</w:t>
      </w:r>
    </w:p>
    <w:sectPr w:rsidR="00FC693F" w:rsidRPr="0006063C" w:rsidSect="00034616">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